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69CC8D" w14:textId="77777777" w:rsidR="00BF688D" w:rsidRDefault="00BF688D" w:rsidP="00147D4E">
      <w:pPr>
        <w:rPr>
          <w:rFonts w:ascii="Work Sans" w:hAnsi="Work Sans"/>
          <w:sz w:val="24"/>
          <w:szCs w:val="24"/>
          <w:lang w:val="pt-BR"/>
        </w:rPr>
      </w:pPr>
    </w:p>
    <w:p w14:paraId="35C57D58" w14:textId="77777777" w:rsidR="009B4335" w:rsidRDefault="009B4335" w:rsidP="00147D4E">
      <w:pPr>
        <w:rPr>
          <w:rFonts w:ascii="Work Sans" w:hAnsi="Work Sans"/>
          <w:sz w:val="24"/>
          <w:szCs w:val="24"/>
          <w:lang w:val="pt-BR"/>
        </w:rPr>
      </w:pPr>
    </w:p>
    <w:p w14:paraId="67DFE024" w14:textId="77777777" w:rsidR="00DD4FDB" w:rsidRDefault="00DD4FDB" w:rsidP="00DD4FDB">
      <w:pPr>
        <w:rPr>
          <w:rFonts w:ascii="Work Sans" w:hAnsi="Work Sans"/>
          <w:sz w:val="24"/>
          <w:szCs w:val="24"/>
          <w:lang w:val="es-ES_tradnl"/>
        </w:rPr>
      </w:pPr>
    </w:p>
    <w:p w14:paraId="1E9B5E7E" w14:textId="77777777" w:rsidR="00DD4FDB" w:rsidRDefault="00DD4FDB" w:rsidP="00DD4FDB">
      <w:pPr>
        <w:rPr>
          <w:rFonts w:ascii="Work Sans" w:hAnsi="Work Sans"/>
          <w:sz w:val="24"/>
          <w:szCs w:val="24"/>
          <w:lang w:val="es-ES_tradnl"/>
        </w:rPr>
      </w:pPr>
    </w:p>
    <w:p w14:paraId="64E6D69E" w14:textId="1313873D" w:rsidR="00DD4FDB" w:rsidRDefault="00DD4FDB" w:rsidP="00DD4FDB">
      <w:pPr>
        <w:rPr>
          <w:rFonts w:ascii="Work Sans" w:hAnsi="Work Sans"/>
          <w:sz w:val="24"/>
          <w:szCs w:val="24"/>
          <w:lang w:val="es-ES_tradnl"/>
        </w:rPr>
      </w:pPr>
      <w:r w:rsidRPr="007B7024">
        <w:rPr>
          <w:rFonts w:ascii="Work Sans" w:hAnsi="Work Sans"/>
          <w:sz w:val="24"/>
          <w:szCs w:val="24"/>
          <w:lang w:val="es-ES_tradnl"/>
        </w:rPr>
        <w:t xml:space="preserve">Bogotá D.C., </w:t>
      </w:r>
      <w:r>
        <w:rPr>
          <w:rFonts w:ascii="Work Sans" w:hAnsi="Work Sans"/>
          <w:sz w:val="24"/>
          <w:szCs w:val="24"/>
          <w:lang w:val="es-ES_tradnl"/>
        </w:rPr>
        <w:t>2</w:t>
      </w:r>
      <w:r w:rsidR="008651F9">
        <w:rPr>
          <w:rFonts w:ascii="Work Sans" w:hAnsi="Work Sans"/>
          <w:sz w:val="24"/>
          <w:szCs w:val="24"/>
          <w:lang w:val="es-ES_tradnl"/>
        </w:rPr>
        <w:t>7</w:t>
      </w:r>
      <w:r>
        <w:rPr>
          <w:rFonts w:ascii="Work Sans" w:hAnsi="Work Sans"/>
          <w:sz w:val="24"/>
          <w:szCs w:val="24"/>
          <w:lang w:val="es-ES_tradnl"/>
        </w:rPr>
        <w:t xml:space="preserve"> de julio</w:t>
      </w:r>
      <w:r w:rsidRPr="007B7024">
        <w:rPr>
          <w:rFonts w:ascii="Work Sans" w:hAnsi="Work Sans"/>
          <w:sz w:val="24"/>
          <w:szCs w:val="24"/>
          <w:lang w:val="es-ES_tradnl"/>
        </w:rPr>
        <w:t xml:space="preserve"> de 2026</w:t>
      </w:r>
    </w:p>
    <w:p w14:paraId="056F0826" w14:textId="77777777" w:rsidR="00DD4FDB" w:rsidRDefault="00DD4FDB" w:rsidP="00DD4FDB">
      <w:pPr>
        <w:rPr>
          <w:rFonts w:ascii="Work Sans" w:hAnsi="Work Sans"/>
          <w:sz w:val="24"/>
          <w:szCs w:val="24"/>
          <w:lang w:val="es-ES_tradnl"/>
        </w:rPr>
      </w:pPr>
    </w:p>
    <w:p w14:paraId="4EC8AFA9" w14:textId="77777777" w:rsidR="002F4A40" w:rsidRDefault="002F4A40" w:rsidP="00DD4FDB">
      <w:pPr>
        <w:rPr>
          <w:rFonts w:ascii="Work Sans" w:hAnsi="Work Sans"/>
          <w:sz w:val="24"/>
          <w:szCs w:val="24"/>
          <w:lang w:val="es-ES_tradnl"/>
        </w:rPr>
      </w:pPr>
    </w:p>
    <w:p w14:paraId="602D1C96" w14:textId="42E46377" w:rsidR="00DD4FDB" w:rsidRDefault="00DD4FDB" w:rsidP="00DD4FDB">
      <w:pPr>
        <w:rPr>
          <w:rFonts w:ascii="Work Sans" w:hAnsi="Work Sans"/>
          <w:sz w:val="24"/>
          <w:szCs w:val="24"/>
          <w:lang w:val="es-ES_tradnl"/>
        </w:rPr>
      </w:pPr>
      <w:r>
        <w:rPr>
          <w:rFonts w:ascii="Work Sans" w:hAnsi="Work Sans"/>
          <w:sz w:val="24"/>
          <w:szCs w:val="24"/>
          <w:lang w:val="es-ES_tradnl"/>
        </w:rPr>
        <w:t>Respetad</w:t>
      </w:r>
      <w:r w:rsidR="002F4A40">
        <w:rPr>
          <w:rFonts w:ascii="Work Sans" w:hAnsi="Work Sans"/>
          <w:sz w:val="24"/>
          <w:szCs w:val="24"/>
          <w:lang w:val="es-ES_tradnl"/>
        </w:rPr>
        <w:t>o</w:t>
      </w:r>
      <w:r>
        <w:rPr>
          <w:rFonts w:ascii="Work Sans" w:hAnsi="Work Sans"/>
          <w:sz w:val="24"/>
          <w:szCs w:val="24"/>
          <w:lang w:val="es-ES_tradnl"/>
        </w:rPr>
        <w:t xml:space="preserve"> Doctor</w:t>
      </w:r>
    </w:p>
    <w:p w14:paraId="389D2D03" w14:textId="77777777" w:rsidR="002F4A40" w:rsidRDefault="002F4A40" w:rsidP="00DD4FDB">
      <w:pPr>
        <w:rPr>
          <w:rFonts w:ascii="Work Sans" w:hAnsi="Work Sans"/>
          <w:sz w:val="24"/>
          <w:szCs w:val="24"/>
          <w:lang w:val="es-ES_tradnl"/>
        </w:rPr>
      </w:pPr>
    </w:p>
    <w:p w14:paraId="13C18DF8" w14:textId="77777777" w:rsidR="008651F9" w:rsidRPr="007B7024" w:rsidRDefault="008651F9" w:rsidP="00DD4FDB">
      <w:pPr>
        <w:rPr>
          <w:rFonts w:ascii="Work Sans" w:hAnsi="Work Sans"/>
          <w:sz w:val="24"/>
          <w:szCs w:val="24"/>
          <w:lang w:val="es-ES_tradnl"/>
        </w:rPr>
      </w:pPr>
    </w:p>
    <w:p w14:paraId="65804BEC" w14:textId="1689E35F" w:rsidR="002F4A40" w:rsidRPr="002F4A40" w:rsidRDefault="002F4A40" w:rsidP="002F4A40">
      <w:pPr>
        <w:rPr>
          <w:rFonts w:ascii="Work Sans" w:hAnsi="Work Sans" w:cs="Times New Roman"/>
          <w:b/>
          <w:bCs/>
          <w:sz w:val="24"/>
          <w:szCs w:val="24"/>
        </w:rPr>
      </w:pPr>
      <w:r w:rsidRPr="002F4A40">
        <w:rPr>
          <w:rFonts w:ascii="Work Sans" w:hAnsi="Work Sans" w:cs="Times New Roman"/>
          <w:b/>
          <w:bCs/>
          <w:sz w:val="24"/>
          <w:szCs w:val="24"/>
        </w:rPr>
        <w:t xml:space="preserve">Daniel Moreno </w:t>
      </w:r>
    </w:p>
    <w:p w14:paraId="05ED7873" w14:textId="77777777" w:rsidR="002F4A40" w:rsidRPr="002F4A40" w:rsidRDefault="002F4A40" w:rsidP="002F4A40">
      <w:pPr>
        <w:rPr>
          <w:rFonts w:ascii="Work Sans" w:hAnsi="Work Sans" w:cs="Times New Roman"/>
          <w:sz w:val="24"/>
          <w:szCs w:val="24"/>
        </w:rPr>
      </w:pPr>
      <w:r w:rsidRPr="002F4A40">
        <w:rPr>
          <w:rFonts w:ascii="Work Sans" w:hAnsi="Work Sans" w:cs="Times New Roman"/>
          <w:sz w:val="24"/>
          <w:szCs w:val="24"/>
        </w:rPr>
        <w:t>Gerente de proyectos</w:t>
      </w:r>
    </w:p>
    <w:p w14:paraId="023293D8" w14:textId="77777777" w:rsidR="002F4A40" w:rsidRPr="002F4A40" w:rsidRDefault="002F4A40" w:rsidP="002F4A40">
      <w:pPr>
        <w:rPr>
          <w:rFonts w:ascii="Work Sans" w:hAnsi="Work Sans" w:cs="Times New Roman"/>
          <w:sz w:val="24"/>
          <w:szCs w:val="24"/>
        </w:rPr>
      </w:pPr>
      <w:r w:rsidRPr="002F4A40">
        <w:rPr>
          <w:rFonts w:ascii="Work Sans" w:hAnsi="Work Sans" w:cs="Times New Roman"/>
          <w:sz w:val="24"/>
          <w:szCs w:val="24"/>
        </w:rPr>
        <w:t>Movilizatorio</w:t>
      </w:r>
    </w:p>
    <w:p w14:paraId="31F3FAF5" w14:textId="695E848E" w:rsidR="00E41445" w:rsidRPr="002F4A40" w:rsidRDefault="002F4A40" w:rsidP="002F4A40">
      <w:pPr>
        <w:jc w:val="both"/>
        <w:rPr>
          <w:rFonts w:ascii="Work Sans" w:hAnsi="Work Sans"/>
          <w:sz w:val="24"/>
          <w:szCs w:val="24"/>
        </w:rPr>
      </w:pPr>
      <w:hyperlink r:id="rId9" w:history="1">
        <w:r w:rsidRPr="002F4A40">
          <w:rPr>
            <w:rStyle w:val="Hipervnculo"/>
            <w:rFonts w:ascii="Work Sans" w:hAnsi="Work Sans" w:cs="Times New Roman"/>
            <w:sz w:val="24"/>
            <w:szCs w:val="24"/>
          </w:rPr>
          <w:t>daniel.moreno@movilizatorio.org</w:t>
        </w:r>
      </w:hyperlink>
      <w:r w:rsidR="008651F9" w:rsidRPr="002F4A40">
        <w:rPr>
          <w:rFonts w:ascii="Work Sans" w:hAnsi="Work Sans"/>
          <w:sz w:val="24"/>
          <w:szCs w:val="24"/>
        </w:rPr>
        <w:t xml:space="preserve"> </w:t>
      </w:r>
    </w:p>
    <w:p w14:paraId="733E5AE1" w14:textId="77777777" w:rsidR="008651F9" w:rsidRPr="008651F9" w:rsidRDefault="008651F9" w:rsidP="008651F9">
      <w:pPr>
        <w:jc w:val="both"/>
        <w:rPr>
          <w:rFonts w:ascii="Work Sans" w:hAnsi="Work Sans"/>
          <w:sz w:val="24"/>
          <w:szCs w:val="24"/>
        </w:rPr>
      </w:pPr>
    </w:p>
    <w:p w14:paraId="438F4676" w14:textId="715532B3" w:rsidR="00214B51" w:rsidRDefault="00214B51" w:rsidP="00147D4E">
      <w:pPr>
        <w:spacing w:before="100" w:beforeAutospacing="1" w:after="100" w:afterAutospacing="1"/>
        <w:jc w:val="both"/>
        <w:rPr>
          <w:rFonts w:ascii="Work Sans" w:eastAsia="Times New Roman" w:hAnsi="Work Sans" w:cs="Times New Roman"/>
          <w:sz w:val="24"/>
          <w:szCs w:val="24"/>
        </w:rPr>
      </w:pPr>
      <w:r w:rsidRPr="00214B51">
        <w:rPr>
          <w:rFonts w:ascii="Work Sans" w:eastAsia="Times New Roman" w:hAnsi="Work Sans" w:cs="Times New Roman"/>
          <w:b/>
          <w:bCs/>
          <w:sz w:val="24"/>
          <w:szCs w:val="24"/>
        </w:rPr>
        <w:t>Asunto:</w:t>
      </w:r>
      <w:r>
        <w:rPr>
          <w:rFonts w:ascii="Work Sans" w:eastAsia="Times New Roman" w:hAnsi="Work Sans" w:cs="Times New Roman"/>
          <w:sz w:val="24"/>
          <w:szCs w:val="24"/>
        </w:rPr>
        <w:t xml:space="preserve"> </w:t>
      </w:r>
      <w:r w:rsidRPr="00214B51">
        <w:rPr>
          <w:rFonts w:ascii="Work Sans" w:eastAsia="Times New Roman" w:hAnsi="Work Sans" w:cs="Times New Roman"/>
          <w:sz w:val="24"/>
          <w:szCs w:val="24"/>
        </w:rPr>
        <w:t>Articulación para el desarrollo del programa de fortalecimiento de capacidades de gobernanza étnica y territorial con la instancia de diálogo y seguimiento territorial.</w:t>
      </w:r>
    </w:p>
    <w:p w14:paraId="095B98D8" w14:textId="27CAC032" w:rsidR="00061693" w:rsidRDefault="00061693" w:rsidP="00147D4E">
      <w:pPr>
        <w:spacing w:before="100" w:beforeAutospacing="1" w:after="100" w:afterAutospacing="1"/>
        <w:jc w:val="both"/>
        <w:rPr>
          <w:rFonts w:ascii="Work Sans" w:eastAsia="Times New Roman" w:hAnsi="Work Sans" w:cs="Times New Roman"/>
          <w:sz w:val="24"/>
          <w:szCs w:val="24"/>
        </w:rPr>
      </w:pPr>
      <w:r>
        <w:rPr>
          <w:rFonts w:ascii="Work Sans" w:eastAsia="Times New Roman" w:hAnsi="Work Sans" w:cs="Times New Roman"/>
          <w:sz w:val="24"/>
          <w:szCs w:val="24"/>
        </w:rPr>
        <w:t>Respetad</w:t>
      </w:r>
      <w:r w:rsidR="00396471">
        <w:rPr>
          <w:rFonts w:ascii="Work Sans" w:eastAsia="Times New Roman" w:hAnsi="Work Sans" w:cs="Times New Roman"/>
          <w:sz w:val="24"/>
          <w:szCs w:val="24"/>
        </w:rPr>
        <w:t>a</w:t>
      </w:r>
      <w:r>
        <w:rPr>
          <w:rFonts w:ascii="Work Sans" w:eastAsia="Times New Roman" w:hAnsi="Work Sans" w:cs="Times New Roman"/>
          <w:sz w:val="24"/>
          <w:szCs w:val="24"/>
        </w:rPr>
        <w:t xml:space="preserve"> Doctor</w:t>
      </w:r>
      <w:r w:rsidR="00396471">
        <w:rPr>
          <w:rFonts w:ascii="Work Sans" w:eastAsia="Times New Roman" w:hAnsi="Work Sans" w:cs="Times New Roman"/>
          <w:sz w:val="24"/>
          <w:szCs w:val="24"/>
        </w:rPr>
        <w:t>a</w:t>
      </w:r>
      <w:r>
        <w:rPr>
          <w:rFonts w:ascii="Work Sans" w:eastAsia="Times New Roman" w:hAnsi="Work Sans" w:cs="Times New Roman"/>
          <w:sz w:val="24"/>
          <w:szCs w:val="24"/>
        </w:rPr>
        <w:t xml:space="preserve"> </w:t>
      </w:r>
      <w:r w:rsidR="00396471">
        <w:rPr>
          <w:rFonts w:ascii="Work Sans" w:eastAsia="Times New Roman" w:hAnsi="Work Sans" w:cs="Times New Roman"/>
          <w:sz w:val="24"/>
          <w:szCs w:val="24"/>
        </w:rPr>
        <w:t>Y</w:t>
      </w:r>
      <w:r w:rsidR="00B51AC9">
        <w:rPr>
          <w:rFonts w:ascii="Work Sans" w:eastAsia="Times New Roman" w:hAnsi="Work Sans" w:cs="Times New Roman"/>
          <w:sz w:val="24"/>
          <w:szCs w:val="24"/>
        </w:rPr>
        <w:t xml:space="preserve">enilin Lubi, reciba un cordial saludo </w:t>
      </w:r>
    </w:p>
    <w:p w14:paraId="6EDBB289"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El Ministerio de Minas y Energía, a través de la Oficina de Asuntos Ambientales y Sociales (OAAS) y la Gerencia Estratégica de La Guajira, ha venido adelantando un proceso orientado al fortalecimiento del relacionamiento social y territorial con autoridades indígenas wayuu, comunidades ubicadas en áreas de influencia de proyectos de Fuentes No Convencionales de Energías Renovables (FNCER) y Líneas de Transmisión (LT), así como con empresas, entidades nacionales y actores territoriales vinculados al proceso de implementación de la Transición Energética Justa (TEJ).</w:t>
      </w:r>
    </w:p>
    <w:p w14:paraId="7D5D1678"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Este ejercicio ha buscado generar condiciones para avanzar hacia una transición que no se limite al desarrollo de infraestructura energética, sino que incorpore elementos de justicia social, participación comunitaria, sostenibilidad territorial y fortalecimiento institucional.</w:t>
      </w:r>
    </w:p>
    <w:p w14:paraId="7733FE97"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Como resultado de este proceso se consolidó el Pacto por la Transición Energética Justa “La Guajira 2050: Un territorio posible para todas y todos”, entendido como un acuerdo de voluntades entre comunidades, empresas y Estado orientado a construir una visión compartida de desarrollo para el territorio.</w:t>
      </w:r>
    </w:p>
    <w:p w14:paraId="7E5DD90F" w14:textId="0490184A" w:rsidR="00DD4FDB"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Posteriormente, mediante ejercicios participativos desarrollados con </w:t>
      </w:r>
      <w:r w:rsidRPr="00061693">
        <w:rPr>
          <w:rFonts w:ascii="Work Sans" w:eastAsia="Times New Roman" w:hAnsi="Work Sans" w:cs="Times New Roman"/>
          <w:sz w:val="24"/>
          <w:szCs w:val="24"/>
        </w:rPr>
        <w:lastRenderedPageBreak/>
        <w:t>comunidades wayuu, entidades públicas y empresas, se estructuró el Plan Operativo para la implementación del Pacto, instrumento que reúne acciones relacionadas con:</w:t>
      </w:r>
    </w:p>
    <w:p w14:paraId="2A8ED93C" w14:textId="77777777" w:rsid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Fortalecimiento de la gobernanza étnica y territorial. </w:t>
      </w:r>
    </w:p>
    <w:p w14:paraId="3F82F84B" w14:textId="77777777" w:rsid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Gestión de conflictividades asociadas al desarrollo energético. </w:t>
      </w:r>
    </w:p>
    <w:p w14:paraId="1C5DC02E" w14:textId="77777777" w:rsid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Fortalecimiento de capacidades comunitarias. </w:t>
      </w:r>
    </w:p>
    <w:p w14:paraId="774D3A26" w14:textId="1BF1DEA4" w:rsidR="00061693" w:rsidRPr="00DD4FDB"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Justicia ambiental y social. </w:t>
      </w:r>
    </w:p>
    <w:p w14:paraId="1683B3F7" w14:textId="406C9A6D" w:rsidR="00061693" w:rsidRP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Desarrollo regional. </w:t>
      </w:r>
    </w:p>
    <w:p w14:paraId="3CE4DF06" w14:textId="77777777" w:rsid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Seguimiento a proyectos energéticos y procesos de transición. </w:t>
      </w:r>
    </w:p>
    <w:p w14:paraId="2D152E24" w14:textId="1BF90FEE" w:rsidR="00061693" w:rsidRPr="00061693"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 xml:space="preserve">Generación de oportunidades territoriales. </w:t>
      </w:r>
    </w:p>
    <w:p w14:paraId="2097D5AD"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Como espacios de implementación y seguimiento de estos compromisos se consolidaron dos escenarios complementarios:</w:t>
      </w:r>
    </w:p>
    <w:p w14:paraId="7BED02F8"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La Instancia de Diálogo y Seguimiento Territorial, como espacio de participación, construcción colectiva y articulación comunitaria conformado por delegados wayuu de las comunidades que se encuentran en el área de influencia de los proyectos FNCER y sus líneas de transmisión eléctrica.</w:t>
      </w:r>
    </w:p>
    <w:p w14:paraId="4E97DBFA"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El Comité Tripartito, entendido como el mecanismo de seguimiento y concertación entre Estado, empresas y comunidades para la implementación del Pacto y su Plan Operativo.</w:t>
      </w:r>
    </w:p>
    <w:p w14:paraId="32DEF7A3"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De lo anterior, la gobernanza étnica y territorial aparece como un elemento fundamental en la Transición Energética Justa. La experiencia desarrollada en La Guajira ha evidenciado que la implementación de proyectos energéticos requiere avanzar más allá de los componentes técnicos e incorporar procesos orientados al fortalecimiento de capacidades territoriales y de gobernanza. Por tanto, la gobernanza étnica y territorial se convierte en una condición habilitante para la sostenibilidad social de la TEJ y para el acompañamiento territorial de los procesos asociados al desarrollo energético en La Guajira.</w:t>
      </w:r>
    </w:p>
    <w:p w14:paraId="2ECEFEAF"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La Instancia de Diálogo y Seguimiento Territorial Wayuu a la Transición Energética Justa constituye el espacio territorial donde confluyen las delegadas y delegados provenientes de diferentes territorios vinculados al proceso de transición energética. Esta instancia cumple funciones orientadas a:</w:t>
      </w:r>
    </w:p>
    <w:p w14:paraId="4D7B4CFD"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Construir reflexiones colectivas alrededor de la TEJ. </w:t>
      </w:r>
    </w:p>
    <w:p w14:paraId="777FCFBF"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Fortalecer la gobernanza étnica y territorial. </w:t>
      </w:r>
    </w:p>
    <w:p w14:paraId="16244871"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Consolidar rutas de trabajo para el seguimiento al Plan Operativo. </w:t>
      </w:r>
    </w:p>
    <w:p w14:paraId="4E33E394"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Promover procesos de fortalecimiento de capacidades. </w:t>
      </w:r>
    </w:p>
    <w:p w14:paraId="1CF68D2D"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lastRenderedPageBreak/>
        <w:t xml:space="preserve">Llevar propuestas a escenarios institucionales. </w:t>
      </w:r>
    </w:p>
    <w:p w14:paraId="251BF64F" w14:textId="30315AEA" w:rsidR="00DD4FDB" w:rsidRPr="002F4A40" w:rsidRDefault="00061693" w:rsidP="00DD4FDB">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Retroalimentar a las comunidades. </w:t>
      </w:r>
    </w:p>
    <w:p w14:paraId="4EA66792" w14:textId="34BA937F" w:rsidR="009711A4"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Adicionalmente, esta escala ha permitido consolidar liderazgos territoriales y fortalecer mecanismos de representación e interlocución entre comunidades, empresas y entidades.</w:t>
      </w:r>
    </w:p>
    <w:p w14:paraId="28807A54"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Por lo anterior, durante el proceso de consolidación de la Instancia de Diálogo y del Comité Tripartito se identificó que las delegadas y delegados wayuu han asumido un rol cada vez más relevante dentro del territorio. Actualmente actúan como:</w:t>
      </w:r>
    </w:p>
    <w:p w14:paraId="52855C43"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Articuladores comunitarios. </w:t>
      </w:r>
    </w:p>
    <w:p w14:paraId="56AEDF45"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Voceros territoriales. </w:t>
      </w:r>
    </w:p>
    <w:p w14:paraId="223FB4F4"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Enlaces entre escalas de gobernanza. </w:t>
      </w:r>
    </w:p>
    <w:p w14:paraId="7EA74A7C" w14:textId="77777777" w:rsid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Representantes ante entidades y empresas. </w:t>
      </w:r>
    </w:p>
    <w:p w14:paraId="1656BFE2" w14:textId="0C4CF031" w:rsidR="00061693" w:rsidRPr="0079028A" w:rsidRDefault="00061693" w:rsidP="00061693">
      <w:pPr>
        <w:pStyle w:val="Prrafodelista"/>
        <w:numPr>
          <w:ilvl w:val="0"/>
          <w:numId w:val="4"/>
        </w:numPr>
        <w:spacing w:before="100" w:beforeAutospacing="1" w:after="100" w:afterAutospacing="1"/>
        <w:jc w:val="both"/>
        <w:rPr>
          <w:rFonts w:ascii="Work Sans" w:eastAsia="Times New Roman" w:hAnsi="Work Sans" w:cs="Times New Roman"/>
          <w:sz w:val="24"/>
          <w:szCs w:val="24"/>
        </w:rPr>
      </w:pPr>
      <w:r w:rsidRPr="0079028A">
        <w:rPr>
          <w:rFonts w:ascii="Work Sans" w:eastAsia="Times New Roman" w:hAnsi="Work Sans" w:cs="Times New Roman"/>
          <w:sz w:val="24"/>
          <w:szCs w:val="24"/>
        </w:rPr>
        <w:t xml:space="preserve">Gestores de procesos de seguimiento y diálogo. </w:t>
      </w:r>
    </w:p>
    <w:p w14:paraId="190C0F08" w14:textId="77777777" w:rsidR="00061693" w:rsidRPr="00061693"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Este nuevo rol implica responsabilidades crecientes y requiere herramientas adicionales para fortalecer procesos de participación, gestión territorial y acompañamiento a las iniciativas vinculadas a la TEJ.</w:t>
      </w:r>
    </w:p>
    <w:p w14:paraId="1C2F1EBB" w14:textId="792A76A4" w:rsidR="0097763C" w:rsidRDefault="00061693" w:rsidP="00061693">
      <w:pPr>
        <w:spacing w:before="100" w:beforeAutospacing="1" w:after="100" w:afterAutospacing="1"/>
        <w:jc w:val="both"/>
        <w:rPr>
          <w:rFonts w:ascii="Work Sans" w:eastAsia="Times New Roman" w:hAnsi="Work Sans" w:cs="Times New Roman"/>
          <w:sz w:val="24"/>
          <w:szCs w:val="24"/>
        </w:rPr>
      </w:pPr>
      <w:r w:rsidRPr="00061693">
        <w:rPr>
          <w:rFonts w:ascii="Work Sans" w:eastAsia="Times New Roman" w:hAnsi="Work Sans" w:cs="Times New Roman"/>
          <w:sz w:val="24"/>
          <w:szCs w:val="24"/>
        </w:rPr>
        <w:t>Por ello, el fortalecimiento de capacidades a la Instancia Wayuu representa una acción fundamental en la garantía de la participación y el diálogo genuino. De manera conjunta, se han logrado identificar temáticas o líneas de conocimiento que promuevan diálogos interculturales informados. Se ha propuesto avanzar en cuatro líneas estratégicas:</w:t>
      </w:r>
    </w:p>
    <w:tbl>
      <w:tblPr>
        <w:tblStyle w:val="Tablaconcuadrcula"/>
        <w:tblW w:w="0" w:type="auto"/>
        <w:jc w:val="center"/>
        <w:tblLook w:val="04A0" w:firstRow="1" w:lastRow="0" w:firstColumn="1" w:lastColumn="0" w:noHBand="0" w:noVBand="1"/>
      </w:tblPr>
      <w:tblGrid>
        <w:gridCol w:w="4414"/>
        <w:gridCol w:w="4414"/>
      </w:tblGrid>
      <w:tr w:rsidR="009711A4" w:rsidRPr="009711A4" w14:paraId="3DB6278C" w14:textId="77777777" w:rsidTr="009711A4">
        <w:trPr>
          <w:jc w:val="center"/>
        </w:trPr>
        <w:tc>
          <w:tcPr>
            <w:tcW w:w="4414" w:type="dxa"/>
          </w:tcPr>
          <w:p w14:paraId="60294FF8" w14:textId="77777777" w:rsidR="009711A4" w:rsidRPr="009711A4" w:rsidRDefault="009711A4" w:rsidP="001D12C2">
            <w:pPr>
              <w:jc w:val="both"/>
              <w:rPr>
                <w:rFonts w:ascii="Work Sans" w:hAnsi="Work Sans" w:cs="Times New Roman"/>
                <w:b/>
                <w:bCs/>
              </w:rPr>
            </w:pPr>
            <w:r w:rsidRPr="009711A4">
              <w:rPr>
                <w:rFonts w:ascii="Work Sans" w:hAnsi="Work Sans" w:cs="Times New Roman"/>
                <w:b/>
                <w:bCs/>
              </w:rPr>
              <w:t>1. Participación e incidencia territorial</w:t>
            </w:r>
          </w:p>
          <w:p w14:paraId="2BEDD548" w14:textId="77777777" w:rsidR="009711A4" w:rsidRPr="009711A4" w:rsidRDefault="009711A4" w:rsidP="001D12C2">
            <w:pPr>
              <w:pStyle w:val="NormalWeb"/>
              <w:jc w:val="both"/>
              <w:rPr>
                <w:rFonts w:ascii="Work Sans" w:hAnsi="Work Sans"/>
                <w:sz w:val="22"/>
                <w:szCs w:val="22"/>
              </w:rPr>
            </w:pPr>
            <w:r w:rsidRPr="009711A4">
              <w:rPr>
                <w:rFonts w:ascii="Work Sans" w:hAnsi="Work Sans"/>
                <w:sz w:val="22"/>
                <w:szCs w:val="22"/>
              </w:rPr>
              <w:t>Orientada al fortalecimiento de herramientas para:</w:t>
            </w:r>
          </w:p>
          <w:p w14:paraId="5E1BEC1E"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Lectura territorial. </w:t>
            </w:r>
          </w:p>
          <w:p w14:paraId="703E273E"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Identificación de problemáticas. </w:t>
            </w:r>
          </w:p>
          <w:p w14:paraId="1B746864"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Participación interinstitucional. </w:t>
            </w:r>
          </w:p>
          <w:p w14:paraId="5BD58956"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Seguimiento de compromisos. </w:t>
            </w:r>
          </w:p>
          <w:p w14:paraId="2A028D3F"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Construcción de propuestas. </w:t>
            </w:r>
          </w:p>
          <w:p w14:paraId="3EF17E08" w14:textId="77777777" w:rsidR="009711A4" w:rsidRPr="009711A4" w:rsidRDefault="009711A4" w:rsidP="009711A4">
            <w:pPr>
              <w:numPr>
                <w:ilvl w:val="0"/>
                <w:numId w:val="5"/>
              </w:numPr>
              <w:spacing w:before="100" w:beforeAutospacing="1" w:after="100" w:afterAutospacing="1"/>
              <w:jc w:val="both"/>
              <w:rPr>
                <w:rFonts w:ascii="Work Sans" w:hAnsi="Work Sans" w:cs="Times New Roman"/>
              </w:rPr>
            </w:pPr>
            <w:r w:rsidRPr="009711A4">
              <w:rPr>
                <w:rFonts w:ascii="Work Sans" w:hAnsi="Work Sans" w:cs="Times New Roman"/>
              </w:rPr>
              <w:t xml:space="preserve">Comunicación entre escalas comunitarias. </w:t>
            </w:r>
          </w:p>
        </w:tc>
        <w:tc>
          <w:tcPr>
            <w:tcW w:w="4414" w:type="dxa"/>
          </w:tcPr>
          <w:p w14:paraId="517CD212" w14:textId="77777777" w:rsidR="009711A4" w:rsidRPr="009711A4" w:rsidRDefault="009711A4" w:rsidP="001D12C2">
            <w:pPr>
              <w:jc w:val="both"/>
              <w:rPr>
                <w:rFonts w:ascii="Work Sans" w:hAnsi="Work Sans" w:cs="Times New Roman"/>
                <w:b/>
                <w:bCs/>
              </w:rPr>
            </w:pPr>
            <w:r w:rsidRPr="009711A4">
              <w:rPr>
                <w:rFonts w:ascii="Work Sans" w:hAnsi="Work Sans" w:cs="Times New Roman"/>
                <w:b/>
                <w:bCs/>
              </w:rPr>
              <w:t>3. Gobernanza y relacionamiento</w:t>
            </w:r>
          </w:p>
          <w:p w14:paraId="3C93DC39" w14:textId="77777777" w:rsidR="009711A4" w:rsidRPr="009711A4" w:rsidRDefault="009711A4" w:rsidP="001D12C2">
            <w:pPr>
              <w:pStyle w:val="NormalWeb"/>
              <w:jc w:val="both"/>
              <w:rPr>
                <w:rFonts w:ascii="Work Sans" w:hAnsi="Work Sans"/>
                <w:sz w:val="22"/>
                <w:szCs w:val="22"/>
              </w:rPr>
            </w:pPr>
            <w:r w:rsidRPr="009711A4">
              <w:rPr>
                <w:rFonts w:ascii="Work Sans" w:hAnsi="Work Sans"/>
                <w:sz w:val="22"/>
                <w:szCs w:val="22"/>
              </w:rPr>
              <w:t>Dirigida al fortalecimiento de herramientas para:</w:t>
            </w:r>
          </w:p>
          <w:p w14:paraId="0F744ED3" w14:textId="77777777" w:rsidR="009711A4" w:rsidRPr="009711A4" w:rsidRDefault="009711A4" w:rsidP="009711A4">
            <w:pPr>
              <w:numPr>
                <w:ilvl w:val="0"/>
                <w:numId w:val="7"/>
              </w:numPr>
              <w:spacing w:before="100" w:beforeAutospacing="1" w:after="100" w:afterAutospacing="1"/>
              <w:jc w:val="both"/>
              <w:rPr>
                <w:rFonts w:ascii="Work Sans" w:hAnsi="Work Sans" w:cs="Times New Roman"/>
              </w:rPr>
            </w:pPr>
            <w:r w:rsidRPr="009711A4">
              <w:rPr>
                <w:rFonts w:ascii="Work Sans" w:hAnsi="Work Sans" w:cs="Times New Roman"/>
              </w:rPr>
              <w:t xml:space="preserve">Gestión de conflictividades. </w:t>
            </w:r>
          </w:p>
          <w:p w14:paraId="7C00BF81" w14:textId="77777777" w:rsidR="009711A4" w:rsidRPr="009711A4" w:rsidRDefault="009711A4" w:rsidP="009711A4">
            <w:pPr>
              <w:numPr>
                <w:ilvl w:val="0"/>
                <w:numId w:val="7"/>
              </w:numPr>
              <w:spacing w:before="100" w:beforeAutospacing="1" w:after="100" w:afterAutospacing="1"/>
              <w:jc w:val="both"/>
              <w:rPr>
                <w:rFonts w:ascii="Work Sans" w:hAnsi="Work Sans" w:cs="Times New Roman"/>
              </w:rPr>
            </w:pPr>
            <w:r w:rsidRPr="009711A4">
              <w:rPr>
                <w:rFonts w:ascii="Work Sans" w:hAnsi="Work Sans" w:cs="Times New Roman"/>
              </w:rPr>
              <w:t xml:space="preserve">Relacionamiento intercultural. </w:t>
            </w:r>
          </w:p>
          <w:p w14:paraId="43BFA350" w14:textId="77777777" w:rsidR="009711A4" w:rsidRPr="009711A4" w:rsidRDefault="009711A4" w:rsidP="009711A4">
            <w:pPr>
              <w:numPr>
                <w:ilvl w:val="0"/>
                <w:numId w:val="7"/>
              </w:numPr>
              <w:spacing w:before="100" w:beforeAutospacing="1" w:after="100" w:afterAutospacing="1"/>
              <w:jc w:val="both"/>
              <w:rPr>
                <w:rFonts w:ascii="Work Sans" w:hAnsi="Work Sans" w:cs="Times New Roman"/>
              </w:rPr>
            </w:pPr>
            <w:r w:rsidRPr="009711A4">
              <w:rPr>
                <w:rFonts w:ascii="Work Sans" w:hAnsi="Work Sans" w:cs="Times New Roman"/>
              </w:rPr>
              <w:t xml:space="preserve">Diálogo social. </w:t>
            </w:r>
          </w:p>
          <w:p w14:paraId="29E8F9D3" w14:textId="77777777" w:rsidR="009711A4" w:rsidRPr="009711A4" w:rsidRDefault="009711A4" w:rsidP="009711A4">
            <w:pPr>
              <w:numPr>
                <w:ilvl w:val="0"/>
                <w:numId w:val="7"/>
              </w:numPr>
              <w:spacing w:before="100" w:beforeAutospacing="1" w:after="100" w:afterAutospacing="1"/>
              <w:jc w:val="both"/>
              <w:rPr>
                <w:rFonts w:ascii="Work Sans" w:hAnsi="Work Sans" w:cs="Times New Roman"/>
              </w:rPr>
            </w:pPr>
            <w:r w:rsidRPr="009711A4">
              <w:rPr>
                <w:rFonts w:ascii="Work Sans" w:hAnsi="Work Sans" w:cs="Times New Roman"/>
              </w:rPr>
              <w:t xml:space="preserve">Buenas prácticas entre comunidades y empresas. </w:t>
            </w:r>
          </w:p>
          <w:p w14:paraId="69C4CB3F" w14:textId="77777777" w:rsidR="009711A4" w:rsidRPr="009711A4" w:rsidRDefault="009711A4" w:rsidP="009711A4">
            <w:pPr>
              <w:numPr>
                <w:ilvl w:val="0"/>
                <w:numId w:val="7"/>
              </w:numPr>
              <w:spacing w:before="100" w:beforeAutospacing="1" w:after="100" w:afterAutospacing="1"/>
              <w:jc w:val="both"/>
              <w:rPr>
                <w:rFonts w:ascii="Work Sans" w:hAnsi="Work Sans" w:cs="Times New Roman"/>
              </w:rPr>
            </w:pPr>
            <w:r w:rsidRPr="009711A4">
              <w:rPr>
                <w:rFonts w:ascii="Work Sans" w:hAnsi="Work Sans" w:cs="Times New Roman"/>
              </w:rPr>
              <w:t xml:space="preserve">Comprensión de instrumentos asociados a consulta previa, participación y derechos colectivos. </w:t>
            </w:r>
          </w:p>
        </w:tc>
      </w:tr>
      <w:tr w:rsidR="009711A4" w:rsidRPr="009711A4" w14:paraId="502C84EF" w14:textId="77777777" w:rsidTr="009711A4">
        <w:trPr>
          <w:jc w:val="center"/>
        </w:trPr>
        <w:tc>
          <w:tcPr>
            <w:tcW w:w="4414" w:type="dxa"/>
          </w:tcPr>
          <w:p w14:paraId="101802C6" w14:textId="77777777" w:rsidR="009711A4" w:rsidRPr="009711A4" w:rsidRDefault="009711A4" w:rsidP="001D12C2">
            <w:pPr>
              <w:jc w:val="both"/>
              <w:rPr>
                <w:rFonts w:ascii="Work Sans" w:hAnsi="Work Sans" w:cs="Times New Roman"/>
                <w:b/>
                <w:bCs/>
              </w:rPr>
            </w:pPr>
            <w:r w:rsidRPr="009711A4">
              <w:rPr>
                <w:rFonts w:ascii="Work Sans" w:hAnsi="Work Sans" w:cs="Times New Roman"/>
                <w:b/>
                <w:bCs/>
              </w:rPr>
              <w:t>2. Gestión territorial y comunitaria</w:t>
            </w:r>
          </w:p>
          <w:p w14:paraId="042F2267" w14:textId="77777777" w:rsidR="009711A4" w:rsidRPr="009711A4" w:rsidRDefault="009711A4" w:rsidP="001D12C2">
            <w:pPr>
              <w:pStyle w:val="NormalWeb"/>
              <w:jc w:val="both"/>
              <w:rPr>
                <w:rFonts w:ascii="Work Sans" w:hAnsi="Work Sans"/>
                <w:sz w:val="22"/>
                <w:szCs w:val="22"/>
              </w:rPr>
            </w:pPr>
            <w:r w:rsidRPr="009711A4">
              <w:rPr>
                <w:rFonts w:ascii="Work Sans" w:hAnsi="Work Sans"/>
                <w:sz w:val="22"/>
                <w:szCs w:val="22"/>
              </w:rPr>
              <w:lastRenderedPageBreak/>
              <w:t>Busca fortalecer capacidades relacionadas con:</w:t>
            </w:r>
          </w:p>
          <w:p w14:paraId="1F476CF0"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Formulación y estructuración de proyectos. </w:t>
            </w:r>
          </w:p>
          <w:p w14:paraId="122AEA6A"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Identificación de fuentes de financiación. </w:t>
            </w:r>
          </w:p>
          <w:p w14:paraId="136F92F7"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Planeación territorial. </w:t>
            </w:r>
          </w:p>
          <w:p w14:paraId="3A65D8E2"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Gestión comunitaria. </w:t>
            </w:r>
          </w:p>
          <w:p w14:paraId="703E370E"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Priorización de necesidades. </w:t>
            </w:r>
          </w:p>
          <w:p w14:paraId="1DD315F0" w14:textId="77777777" w:rsidR="009711A4" w:rsidRPr="009711A4" w:rsidRDefault="009711A4" w:rsidP="009711A4">
            <w:pPr>
              <w:numPr>
                <w:ilvl w:val="0"/>
                <w:numId w:val="6"/>
              </w:numPr>
              <w:spacing w:before="100" w:beforeAutospacing="1" w:after="100" w:afterAutospacing="1"/>
              <w:jc w:val="both"/>
              <w:rPr>
                <w:rFonts w:ascii="Work Sans" w:hAnsi="Work Sans" w:cs="Times New Roman"/>
              </w:rPr>
            </w:pPr>
            <w:r w:rsidRPr="009711A4">
              <w:rPr>
                <w:rFonts w:ascii="Work Sans" w:hAnsi="Work Sans" w:cs="Times New Roman"/>
              </w:rPr>
              <w:t xml:space="preserve">Seguimiento e implementación de iniciativas. </w:t>
            </w:r>
          </w:p>
        </w:tc>
        <w:tc>
          <w:tcPr>
            <w:tcW w:w="4414" w:type="dxa"/>
          </w:tcPr>
          <w:p w14:paraId="45FD69C9" w14:textId="77777777" w:rsidR="009711A4" w:rsidRPr="009711A4" w:rsidRDefault="009711A4" w:rsidP="001D12C2">
            <w:pPr>
              <w:jc w:val="both"/>
              <w:rPr>
                <w:rFonts w:ascii="Work Sans" w:hAnsi="Work Sans" w:cs="Times New Roman"/>
                <w:b/>
                <w:bCs/>
              </w:rPr>
            </w:pPr>
            <w:r w:rsidRPr="009711A4">
              <w:rPr>
                <w:rFonts w:ascii="Work Sans" w:hAnsi="Work Sans" w:cs="Times New Roman"/>
                <w:b/>
                <w:bCs/>
              </w:rPr>
              <w:lastRenderedPageBreak/>
              <w:t>4. Oportunidades para el desarrollo territorial</w:t>
            </w:r>
          </w:p>
          <w:p w14:paraId="25D01671" w14:textId="77777777" w:rsidR="009711A4" w:rsidRPr="009711A4" w:rsidRDefault="009711A4" w:rsidP="001D12C2">
            <w:pPr>
              <w:pStyle w:val="NormalWeb"/>
              <w:jc w:val="both"/>
              <w:rPr>
                <w:rFonts w:ascii="Work Sans" w:hAnsi="Work Sans"/>
                <w:sz w:val="22"/>
                <w:szCs w:val="22"/>
              </w:rPr>
            </w:pPr>
            <w:r w:rsidRPr="009711A4">
              <w:rPr>
                <w:rFonts w:ascii="Work Sans" w:hAnsi="Work Sans"/>
                <w:sz w:val="22"/>
                <w:szCs w:val="22"/>
              </w:rPr>
              <w:lastRenderedPageBreak/>
              <w:t>Orientada a impulsar capacidades alrededor de:</w:t>
            </w:r>
          </w:p>
          <w:p w14:paraId="3AF9BF66"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 xml:space="preserve">Proyectos productivos. </w:t>
            </w:r>
          </w:p>
          <w:p w14:paraId="1A30776F"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 xml:space="preserve">Comunidades energéticas. </w:t>
            </w:r>
          </w:p>
          <w:p w14:paraId="5062ACD3"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 xml:space="preserve">Economía local. </w:t>
            </w:r>
          </w:p>
          <w:p w14:paraId="748CE9C6"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 xml:space="preserve">Encadenamientos territoriales. </w:t>
            </w:r>
          </w:p>
          <w:p w14:paraId="5CF149F0"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 xml:space="preserve">Emprendimientos comunitarios. </w:t>
            </w:r>
          </w:p>
          <w:p w14:paraId="2FAE6384" w14:textId="77777777" w:rsidR="009711A4" w:rsidRPr="009711A4" w:rsidRDefault="009711A4" w:rsidP="009711A4">
            <w:pPr>
              <w:numPr>
                <w:ilvl w:val="0"/>
                <w:numId w:val="8"/>
              </w:numPr>
              <w:spacing w:before="100" w:beforeAutospacing="1" w:after="100" w:afterAutospacing="1"/>
              <w:jc w:val="both"/>
              <w:rPr>
                <w:rFonts w:ascii="Work Sans" w:hAnsi="Work Sans" w:cs="Times New Roman"/>
              </w:rPr>
            </w:pPr>
            <w:r w:rsidRPr="009711A4">
              <w:rPr>
                <w:rFonts w:ascii="Work Sans" w:hAnsi="Work Sans" w:cs="Times New Roman"/>
              </w:rPr>
              <w:t>Acceso a programas institucionales.</w:t>
            </w:r>
          </w:p>
        </w:tc>
      </w:tr>
    </w:tbl>
    <w:p w14:paraId="6BF53718" w14:textId="77777777" w:rsidR="005B32C0" w:rsidRPr="005B32C0" w:rsidRDefault="005B32C0" w:rsidP="005B32C0">
      <w:p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lastRenderedPageBreak/>
        <w:t>En este contexto, el fortalecimiento de capacidades no se entiende únicamente como un proceso formativo, sino como una estrategia integral orientada a consolidar condiciones para la sostenibilidad territorial de la Transición Energética Justa, lo cual busca:</w:t>
      </w:r>
    </w:p>
    <w:p w14:paraId="394F9319" w14:textId="54B941B2"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Fortalecer la incidencia territorial de la Instancia de Diálogo y Seguimiento Territorial. </w:t>
      </w:r>
    </w:p>
    <w:p w14:paraId="3CCAF7D4" w14:textId="6CBF61DC"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Consolidar capacidades para la implementación del Plan Operativo del Pacto por la TEJ. </w:t>
      </w:r>
    </w:p>
    <w:p w14:paraId="5192605F" w14:textId="147E24E9"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Promover herramientas para la sostenibilidad social de los proyectos energéticos. </w:t>
      </w:r>
    </w:p>
    <w:p w14:paraId="77880CFA" w14:textId="5B834A3F"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Mejorar el relacionamiento entre comunidades, empresas y entidades. </w:t>
      </w:r>
    </w:p>
    <w:p w14:paraId="3966C550" w14:textId="2552BA6C"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Generar oportunidades de desarrollo territorial acordes con las prioridades comunitarias. </w:t>
      </w:r>
    </w:p>
    <w:p w14:paraId="36AC5685" w14:textId="0B3D222B" w:rsidR="005B32C0"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 xml:space="preserve">Acompañar la construcción de liderazgo y gobernanza desde las comunidades wayuu. </w:t>
      </w:r>
    </w:p>
    <w:p w14:paraId="4CB47A80" w14:textId="3A560B7A" w:rsidR="0079028A" w:rsidRPr="005B32C0" w:rsidRDefault="005B32C0" w:rsidP="005B32C0">
      <w:pPr>
        <w:pStyle w:val="Prrafodelista"/>
        <w:numPr>
          <w:ilvl w:val="0"/>
          <w:numId w:val="9"/>
        </w:numPr>
        <w:spacing w:before="100" w:beforeAutospacing="1" w:after="100" w:afterAutospacing="1"/>
        <w:jc w:val="both"/>
        <w:rPr>
          <w:rFonts w:ascii="Work Sans" w:eastAsia="Times New Roman" w:hAnsi="Work Sans" w:cs="Times New Roman"/>
          <w:sz w:val="24"/>
          <w:szCs w:val="24"/>
        </w:rPr>
      </w:pPr>
      <w:r w:rsidRPr="005B32C0">
        <w:rPr>
          <w:rFonts w:ascii="Work Sans" w:eastAsia="Times New Roman" w:hAnsi="Work Sans" w:cs="Times New Roman"/>
          <w:sz w:val="24"/>
          <w:szCs w:val="24"/>
        </w:rPr>
        <w:t>Reducir brechas de información, participación y acceso alrededor de la transición energética</w:t>
      </w:r>
      <w:r w:rsidRPr="005B32C0">
        <w:rPr>
          <w:rFonts w:ascii="Work Sans" w:eastAsia="Times New Roman" w:hAnsi="Work Sans" w:cs="Times New Roman"/>
          <w:sz w:val="24"/>
          <w:szCs w:val="24"/>
        </w:rPr>
        <w:t xml:space="preserve">. </w:t>
      </w:r>
    </w:p>
    <w:p w14:paraId="3EDFDEBD" w14:textId="0248081C" w:rsidR="00F300C3" w:rsidRPr="00F300C3" w:rsidRDefault="00F300C3" w:rsidP="00F300C3">
      <w:pPr>
        <w:spacing w:before="100" w:beforeAutospacing="1" w:after="100" w:afterAutospacing="1"/>
        <w:jc w:val="both"/>
        <w:rPr>
          <w:rFonts w:ascii="Work Sans" w:eastAsia="Times New Roman" w:hAnsi="Work Sans" w:cs="Times New Roman"/>
          <w:sz w:val="24"/>
          <w:szCs w:val="24"/>
        </w:rPr>
      </w:pPr>
      <w:r w:rsidRPr="00F300C3">
        <w:rPr>
          <w:rFonts w:ascii="Work Sans" w:eastAsia="Times New Roman" w:hAnsi="Work Sans" w:cs="Times New Roman"/>
          <w:sz w:val="24"/>
          <w:szCs w:val="24"/>
        </w:rPr>
        <w:t>Es en esta estrategia de relacionamiento institucional, empresarial y comunitaria que hemos encontrado un gran valor para consolidar la gobernanza étnica y territorial y generar procesos de fortalecimiento del pueblo wayuu en la Transición Energética Justa.</w:t>
      </w:r>
    </w:p>
    <w:p w14:paraId="5A31A23A" w14:textId="0E26A937" w:rsidR="00F300C3" w:rsidRPr="00F300C3" w:rsidRDefault="00F300C3" w:rsidP="00F300C3">
      <w:pPr>
        <w:spacing w:before="100" w:beforeAutospacing="1" w:after="100" w:afterAutospacing="1"/>
        <w:jc w:val="both"/>
        <w:rPr>
          <w:rFonts w:ascii="Work Sans" w:eastAsia="Times New Roman" w:hAnsi="Work Sans" w:cs="Times New Roman"/>
          <w:sz w:val="24"/>
          <w:szCs w:val="24"/>
        </w:rPr>
      </w:pPr>
      <w:r w:rsidRPr="00F300C3">
        <w:rPr>
          <w:rFonts w:ascii="Work Sans" w:eastAsia="Times New Roman" w:hAnsi="Work Sans" w:cs="Times New Roman"/>
          <w:sz w:val="24"/>
          <w:szCs w:val="24"/>
        </w:rPr>
        <w:t>Bajo este marco hemos invitado al Centro de Empresas y Emprendimientos Responsables -CREER- para el desarrollo del Programa de Fortalecimiento en Transición Energética Justa, el cual tiene como propósito contribuir al desarrollo de estas capacidades de gobernanza étnica y territorial en el marco de la transición energética justa.</w:t>
      </w:r>
    </w:p>
    <w:p w14:paraId="77E31262" w14:textId="24443178" w:rsidR="00F300C3" w:rsidRPr="00F300C3" w:rsidRDefault="00F300C3" w:rsidP="00F300C3">
      <w:pPr>
        <w:spacing w:before="100" w:beforeAutospacing="1" w:after="100" w:afterAutospacing="1"/>
        <w:jc w:val="both"/>
        <w:rPr>
          <w:rFonts w:ascii="Work Sans" w:eastAsia="Times New Roman" w:hAnsi="Work Sans" w:cs="Times New Roman"/>
          <w:sz w:val="24"/>
          <w:szCs w:val="24"/>
        </w:rPr>
      </w:pPr>
      <w:r w:rsidRPr="00F300C3">
        <w:rPr>
          <w:rFonts w:ascii="Work Sans" w:eastAsia="Times New Roman" w:hAnsi="Work Sans" w:cs="Times New Roman"/>
          <w:sz w:val="24"/>
          <w:szCs w:val="24"/>
        </w:rPr>
        <w:lastRenderedPageBreak/>
        <w:t>El programa se estructura en seis sesiones presenciales que se desarrollarán entre julio y octubre de 2026, con una periodicidad mensual de uno o dos viernes y uno o dos sábados al mes de 8:00 am a 15:00 pm,</w:t>
      </w:r>
      <w:r w:rsidR="008651F9">
        <w:rPr>
          <w:rFonts w:ascii="Work Sans" w:eastAsia="Times New Roman" w:hAnsi="Work Sans" w:cs="Times New Roman"/>
          <w:sz w:val="24"/>
          <w:szCs w:val="24"/>
        </w:rPr>
        <w:t xml:space="preserve"> </w:t>
      </w:r>
      <w:r w:rsidRPr="00F300C3">
        <w:rPr>
          <w:rFonts w:ascii="Work Sans" w:eastAsia="Times New Roman" w:hAnsi="Work Sans" w:cs="Times New Roman"/>
          <w:sz w:val="24"/>
          <w:szCs w:val="24"/>
        </w:rPr>
        <w:t xml:space="preserve">en los espacios de la Universidad de La Guajira. Cada sesión combinará componentes conceptuales, y herramientas prácticas orientadas al fortalecimiento de las capacidades de los participantes. Los contenidos del programa se abordan de manera progresiva e integrada, incorporando enfoque de derechos humanos, género, interculturalidad, sostenibilidad y liderazgo. </w:t>
      </w:r>
    </w:p>
    <w:p w14:paraId="25F5028B" w14:textId="5D452E90" w:rsidR="009B4335" w:rsidRDefault="00F300C3" w:rsidP="00F300C3">
      <w:pPr>
        <w:spacing w:before="100" w:beforeAutospacing="1" w:after="100" w:afterAutospacing="1"/>
        <w:jc w:val="both"/>
        <w:rPr>
          <w:rFonts w:ascii="Work Sans" w:eastAsia="Times New Roman" w:hAnsi="Work Sans" w:cs="Times New Roman"/>
          <w:sz w:val="24"/>
          <w:szCs w:val="24"/>
        </w:rPr>
      </w:pPr>
      <w:r w:rsidRPr="00F300C3">
        <w:rPr>
          <w:rFonts w:ascii="Work Sans" w:eastAsia="Times New Roman" w:hAnsi="Work Sans" w:cs="Times New Roman"/>
          <w:sz w:val="24"/>
          <w:szCs w:val="24"/>
        </w:rPr>
        <w:t>Cada módulo contará con la participación de aliados estratégicos y expertos temáticos, con el propósito de aportar conocimientos especializados y fortalecer los espacios de aprendizaje y construcción colectiva. Siendo así, el programa se encuentra diseñado de la siguiente forma:</w:t>
      </w:r>
    </w:p>
    <w:tbl>
      <w:tblPr>
        <w:tblStyle w:val="Tablaconcuadrcula"/>
        <w:tblW w:w="0" w:type="auto"/>
        <w:tblLook w:val="04A0" w:firstRow="1" w:lastRow="0" w:firstColumn="1" w:lastColumn="0" w:noHBand="0" w:noVBand="1"/>
      </w:tblPr>
      <w:tblGrid>
        <w:gridCol w:w="976"/>
        <w:gridCol w:w="1631"/>
        <w:gridCol w:w="1809"/>
        <w:gridCol w:w="2631"/>
        <w:gridCol w:w="1781"/>
      </w:tblGrid>
      <w:tr w:rsidR="00F956B1" w:rsidRPr="006B32D9" w14:paraId="61D9EA7C" w14:textId="77777777" w:rsidTr="001D12C2">
        <w:trPr>
          <w:tblHeader/>
        </w:trPr>
        <w:tc>
          <w:tcPr>
            <w:tcW w:w="976" w:type="dxa"/>
            <w:shd w:val="clear" w:color="auto" w:fill="000000" w:themeFill="text1"/>
            <w:vAlign w:val="center"/>
          </w:tcPr>
          <w:p w14:paraId="7AA65BF9"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Sesión</w:t>
            </w:r>
          </w:p>
        </w:tc>
        <w:tc>
          <w:tcPr>
            <w:tcW w:w="1631" w:type="dxa"/>
            <w:shd w:val="clear" w:color="auto" w:fill="000000" w:themeFill="text1"/>
            <w:vAlign w:val="center"/>
          </w:tcPr>
          <w:p w14:paraId="5B23486E"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Fechas</w:t>
            </w:r>
          </w:p>
        </w:tc>
        <w:tc>
          <w:tcPr>
            <w:tcW w:w="1809" w:type="dxa"/>
            <w:shd w:val="clear" w:color="auto" w:fill="000000" w:themeFill="text1"/>
            <w:vAlign w:val="center"/>
          </w:tcPr>
          <w:p w14:paraId="739E903B"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Temática</w:t>
            </w:r>
          </w:p>
        </w:tc>
        <w:tc>
          <w:tcPr>
            <w:tcW w:w="2631" w:type="dxa"/>
            <w:shd w:val="clear" w:color="auto" w:fill="000000" w:themeFill="text1"/>
            <w:vAlign w:val="center"/>
          </w:tcPr>
          <w:p w14:paraId="25101355"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Conceptos clave</w:t>
            </w:r>
          </w:p>
        </w:tc>
        <w:tc>
          <w:tcPr>
            <w:tcW w:w="1781" w:type="dxa"/>
            <w:shd w:val="clear" w:color="auto" w:fill="000000" w:themeFill="text1"/>
            <w:vAlign w:val="center"/>
          </w:tcPr>
          <w:p w14:paraId="74C26CEE"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Entidad(es) responsable(s)</w:t>
            </w:r>
          </w:p>
        </w:tc>
      </w:tr>
      <w:tr w:rsidR="00F956B1" w:rsidRPr="006B32D9" w14:paraId="58DA5545" w14:textId="77777777" w:rsidTr="001D12C2">
        <w:tc>
          <w:tcPr>
            <w:tcW w:w="976" w:type="dxa"/>
          </w:tcPr>
          <w:p w14:paraId="000572FD"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I</w:t>
            </w:r>
          </w:p>
        </w:tc>
        <w:tc>
          <w:tcPr>
            <w:tcW w:w="1631" w:type="dxa"/>
          </w:tcPr>
          <w:p w14:paraId="6C190283"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Viernes 24 y sábado 25 de julio de 2026</w:t>
            </w:r>
          </w:p>
        </w:tc>
        <w:tc>
          <w:tcPr>
            <w:tcW w:w="1809" w:type="dxa"/>
          </w:tcPr>
          <w:p w14:paraId="16825B0C"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Introducción y conceptos básicos de transición energética</w:t>
            </w:r>
          </w:p>
        </w:tc>
        <w:tc>
          <w:tcPr>
            <w:tcW w:w="2631" w:type="dxa"/>
          </w:tcPr>
          <w:p w14:paraId="21EB9B93"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Aborda los fundamentos del cambio climático y la transición energética, definiciones clave, panorama global, regional y nacional. </w:t>
            </w:r>
          </w:p>
          <w:p w14:paraId="66BC236D" w14:textId="77777777" w:rsidR="00F956B1" w:rsidRPr="006B32D9" w:rsidRDefault="00F956B1" w:rsidP="001D12C2">
            <w:pPr>
              <w:jc w:val="both"/>
              <w:rPr>
                <w:rFonts w:ascii="Times New Roman" w:hAnsi="Times New Roman" w:cs="Times New Roman"/>
                <w:sz w:val="20"/>
                <w:szCs w:val="20"/>
              </w:rPr>
            </w:pPr>
          </w:p>
          <w:p w14:paraId="5AA8024F"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Abarca energías renovables y su potencial de aplicación en La Guajira.</w:t>
            </w:r>
          </w:p>
        </w:tc>
        <w:tc>
          <w:tcPr>
            <w:tcW w:w="1781" w:type="dxa"/>
          </w:tcPr>
          <w:p w14:paraId="7A6D783F"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Transforma </w:t>
            </w:r>
          </w:p>
          <w:p w14:paraId="54AB0A23" w14:textId="77777777" w:rsidR="00F956B1" w:rsidRPr="006B32D9" w:rsidRDefault="00F956B1" w:rsidP="001D12C2">
            <w:pPr>
              <w:jc w:val="both"/>
              <w:rPr>
                <w:rFonts w:ascii="Times New Roman" w:hAnsi="Times New Roman" w:cs="Times New Roman"/>
                <w:sz w:val="20"/>
                <w:szCs w:val="20"/>
              </w:rPr>
            </w:pPr>
          </w:p>
          <w:p w14:paraId="40B0C74B"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Universidad de La Guajira</w:t>
            </w:r>
          </w:p>
        </w:tc>
      </w:tr>
      <w:tr w:rsidR="00F956B1" w:rsidRPr="006B32D9" w14:paraId="7E03EEB8" w14:textId="77777777" w:rsidTr="001D12C2">
        <w:tc>
          <w:tcPr>
            <w:tcW w:w="976" w:type="dxa"/>
          </w:tcPr>
          <w:p w14:paraId="4B062DC7"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II</w:t>
            </w:r>
          </w:p>
        </w:tc>
        <w:tc>
          <w:tcPr>
            <w:tcW w:w="1631" w:type="dxa"/>
          </w:tcPr>
          <w:p w14:paraId="471712D8"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Miércoles 29 y jueves 30 de julio de 2026</w:t>
            </w:r>
          </w:p>
        </w:tc>
        <w:tc>
          <w:tcPr>
            <w:tcW w:w="1809" w:type="dxa"/>
          </w:tcPr>
          <w:p w14:paraId="5B3AC35B"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Aspectos sociales, ambientales y en derechos humanos </w:t>
            </w:r>
          </w:p>
        </w:tc>
        <w:tc>
          <w:tcPr>
            <w:tcW w:w="2631" w:type="dxa"/>
          </w:tcPr>
          <w:p w14:paraId="7865608F"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Introduce los estándares internacionales de derechos humanos aplicables a la transición energética, con énfasis en debida diligencia empresarial, protección del medio ambiente, derechos de comunidades étnicas, licenciamiento ambiental y los resultados de impactos reales y potenciales del sector eólico en derechos humanos en La Guajira (EISI eólica). </w:t>
            </w:r>
          </w:p>
        </w:tc>
        <w:tc>
          <w:tcPr>
            <w:tcW w:w="1781" w:type="dxa"/>
          </w:tcPr>
          <w:p w14:paraId="64363A5E"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Centro Regional de Empresas y Emprendimientos Responsables -CREER-. </w:t>
            </w:r>
          </w:p>
          <w:p w14:paraId="0F6A220F" w14:textId="77777777" w:rsidR="00F956B1" w:rsidRPr="006B32D9" w:rsidRDefault="00F956B1" w:rsidP="001D12C2">
            <w:pPr>
              <w:jc w:val="both"/>
              <w:rPr>
                <w:rFonts w:ascii="Times New Roman" w:hAnsi="Times New Roman" w:cs="Times New Roman"/>
                <w:sz w:val="20"/>
                <w:szCs w:val="20"/>
              </w:rPr>
            </w:pPr>
          </w:p>
          <w:p w14:paraId="75A9613A"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Instituto Danés de Derechos Humanos -DIHR-. </w:t>
            </w:r>
          </w:p>
        </w:tc>
      </w:tr>
      <w:tr w:rsidR="00F956B1" w:rsidRPr="006B32D9" w14:paraId="72FC187C" w14:textId="77777777" w:rsidTr="001D12C2">
        <w:tc>
          <w:tcPr>
            <w:tcW w:w="976" w:type="dxa"/>
          </w:tcPr>
          <w:p w14:paraId="77EA0466"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III</w:t>
            </w:r>
          </w:p>
        </w:tc>
        <w:tc>
          <w:tcPr>
            <w:tcW w:w="1631" w:type="dxa"/>
          </w:tcPr>
          <w:p w14:paraId="67B7AB1F"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Viernes 28 y sábado 29 de agosto de 2026 </w:t>
            </w:r>
          </w:p>
        </w:tc>
        <w:tc>
          <w:tcPr>
            <w:tcW w:w="1809" w:type="dxa"/>
          </w:tcPr>
          <w:p w14:paraId="0C2CBE06"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Comunicaciones, narrativas y diálogo intercultural</w:t>
            </w:r>
          </w:p>
        </w:tc>
        <w:tc>
          <w:tcPr>
            <w:tcW w:w="2631" w:type="dxa"/>
          </w:tcPr>
          <w:p w14:paraId="2B82A607"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Desarrolla capacidades para la construcción de narrativas para una transición energética justa, el manejo de la polarización y la desinformación, y el diseño de estrategias de comunicación hacia comunidades y actores externos, integrando un enfoque de género e </w:t>
            </w:r>
            <w:r w:rsidRPr="006B32D9">
              <w:rPr>
                <w:rFonts w:ascii="Times New Roman" w:hAnsi="Times New Roman" w:cs="Times New Roman"/>
                <w:sz w:val="20"/>
                <w:szCs w:val="20"/>
              </w:rPr>
              <w:lastRenderedPageBreak/>
              <w:t xml:space="preserve">interseccionalidad en todos los contenidos. </w:t>
            </w:r>
          </w:p>
        </w:tc>
        <w:tc>
          <w:tcPr>
            <w:tcW w:w="1781" w:type="dxa"/>
          </w:tcPr>
          <w:p w14:paraId="4E2816B6" w14:textId="77777777" w:rsidR="00F956B1" w:rsidRPr="006B32D9" w:rsidRDefault="00F956B1" w:rsidP="001D12C2">
            <w:pPr>
              <w:jc w:val="both"/>
              <w:rPr>
                <w:rFonts w:ascii="Times New Roman" w:hAnsi="Times New Roman" w:cs="Times New Roman"/>
                <w:sz w:val="20"/>
                <w:szCs w:val="20"/>
              </w:rPr>
            </w:pPr>
            <w:proofErr w:type="spellStart"/>
            <w:r w:rsidRPr="006B32D9">
              <w:rPr>
                <w:rFonts w:ascii="Times New Roman" w:hAnsi="Times New Roman" w:cs="Times New Roman"/>
                <w:sz w:val="20"/>
                <w:szCs w:val="20"/>
              </w:rPr>
              <w:lastRenderedPageBreak/>
              <w:t>Movilizatorio</w:t>
            </w:r>
            <w:proofErr w:type="spellEnd"/>
            <w:r w:rsidRPr="006B32D9">
              <w:rPr>
                <w:rFonts w:ascii="Times New Roman" w:hAnsi="Times New Roman" w:cs="Times New Roman"/>
                <w:sz w:val="20"/>
                <w:szCs w:val="20"/>
              </w:rPr>
              <w:t xml:space="preserve"> </w:t>
            </w:r>
          </w:p>
        </w:tc>
      </w:tr>
      <w:tr w:rsidR="00F956B1" w:rsidRPr="006B32D9" w14:paraId="78C81143" w14:textId="77777777" w:rsidTr="001D12C2">
        <w:tc>
          <w:tcPr>
            <w:tcW w:w="976" w:type="dxa"/>
          </w:tcPr>
          <w:p w14:paraId="4C443B1E" w14:textId="6CAC9DE8"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IV</w:t>
            </w:r>
          </w:p>
        </w:tc>
        <w:tc>
          <w:tcPr>
            <w:tcW w:w="1631" w:type="dxa"/>
          </w:tcPr>
          <w:p w14:paraId="709CC14A"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Viernes 18 y sábado 19 de septiembre de 2026</w:t>
            </w:r>
          </w:p>
        </w:tc>
        <w:tc>
          <w:tcPr>
            <w:tcW w:w="1809" w:type="dxa"/>
          </w:tcPr>
          <w:p w14:paraId="48B03A74"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Liderazgo</w:t>
            </w:r>
          </w:p>
        </w:tc>
        <w:tc>
          <w:tcPr>
            <w:tcW w:w="2631" w:type="dxa"/>
          </w:tcPr>
          <w:p w14:paraId="2BBF56AC"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Fortalece habilidades y aptitudes de liderazgo desde una mirada intercultural, reconociendo los saberes y formas organizativas propias de las comunidades étnicas de La Guajira como base para el ejercicio de liderazgo legítimo y efectivo en el marco de la transición energética justa</w:t>
            </w:r>
          </w:p>
        </w:tc>
        <w:tc>
          <w:tcPr>
            <w:tcW w:w="1781" w:type="dxa"/>
          </w:tcPr>
          <w:p w14:paraId="666CD8DA"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JCI </w:t>
            </w:r>
            <w:proofErr w:type="spellStart"/>
            <w:r w:rsidRPr="006B32D9">
              <w:rPr>
                <w:rFonts w:ascii="Times New Roman" w:hAnsi="Times New Roman" w:cs="Times New Roman"/>
                <w:sz w:val="20"/>
                <w:szCs w:val="20"/>
              </w:rPr>
              <w:t>Wayma</w:t>
            </w:r>
            <w:proofErr w:type="spellEnd"/>
            <w:r w:rsidRPr="006B32D9">
              <w:rPr>
                <w:rFonts w:ascii="Times New Roman" w:hAnsi="Times New Roman" w:cs="Times New Roman"/>
                <w:sz w:val="20"/>
                <w:szCs w:val="20"/>
              </w:rPr>
              <w:t xml:space="preserve"> </w:t>
            </w:r>
          </w:p>
        </w:tc>
      </w:tr>
      <w:tr w:rsidR="00F956B1" w:rsidRPr="006B32D9" w14:paraId="6681B7D3" w14:textId="77777777" w:rsidTr="001D12C2">
        <w:tc>
          <w:tcPr>
            <w:tcW w:w="976" w:type="dxa"/>
          </w:tcPr>
          <w:p w14:paraId="2E4B3106"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V</w:t>
            </w:r>
          </w:p>
        </w:tc>
        <w:tc>
          <w:tcPr>
            <w:tcW w:w="1631" w:type="dxa"/>
          </w:tcPr>
          <w:p w14:paraId="15A48C6C"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Viernes 2 y sábado 3 de octubre de 2026</w:t>
            </w:r>
          </w:p>
        </w:tc>
        <w:tc>
          <w:tcPr>
            <w:tcW w:w="1809" w:type="dxa"/>
          </w:tcPr>
          <w:p w14:paraId="64ABCB85"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Beneficios compartidos </w:t>
            </w:r>
          </w:p>
        </w:tc>
        <w:tc>
          <w:tcPr>
            <w:tcW w:w="2631" w:type="dxa"/>
          </w:tcPr>
          <w:p w14:paraId="2DABA7AD"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Profundiza en el concepto de beneficios compartidos en el sector energético y sus distintas modalidades: </w:t>
            </w:r>
            <w:proofErr w:type="spellStart"/>
            <w:r w:rsidRPr="006B32D9">
              <w:rPr>
                <w:rFonts w:ascii="Times New Roman" w:hAnsi="Times New Roman" w:cs="Times New Roman"/>
                <w:sz w:val="20"/>
                <w:szCs w:val="20"/>
              </w:rPr>
              <w:t>co-propiedad</w:t>
            </w:r>
            <w:proofErr w:type="spellEnd"/>
            <w:r w:rsidRPr="006B32D9">
              <w:rPr>
                <w:rFonts w:ascii="Times New Roman" w:hAnsi="Times New Roman" w:cs="Times New Roman"/>
                <w:sz w:val="20"/>
                <w:szCs w:val="20"/>
              </w:rPr>
              <w:t xml:space="preserve"> de proyectos, generación de empleo local, transferencias de conocimientos y tecnología, entre otros mecanismos de distribución equitativa de valor. </w:t>
            </w:r>
          </w:p>
        </w:tc>
        <w:tc>
          <w:tcPr>
            <w:tcW w:w="1781" w:type="dxa"/>
          </w:tcPr>
          <w:p w14:paraId="2D4C6314"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Centro Regional de Empresas y Emprendimientos Responsables -CREER-  </w:t>
            </w:r>
          </w:p>
        </w:tc>
      </w:tr>
      <w:tr w:rsidR="00F956B1" w:rsidRPr="006B32D9" w14:paraId="42084D89" w14:textId="77777777" w:rsidTr="001D12C2">
        <w:tc>
          <w:tcPr>
            <w:tcW w:w="976" w:type="dxa"/>
          </w:tcPr>
          <w:p w14:paraId="19761762"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VI</w:t>
            </w:r>
          </w:p>
        </w:tc>
        <w:tc>
          <w:tcPr>
            <w:tcW w:w="1631" w:type="dxa"/>
          </w:tcPr>
          <w:p w14:paraId="626BDC7F"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Viernes 16 y sábado 17 de octubre de 2026</w:t>
            </w:r>
          </w:p>
        </w:tc>
        <w:tc>
          <w:tcPr>
            <w:tcW w:w="1809" w:type="dxa"/>
          </w:tcPr>
          <w:p w14:paraId="5EF6E26E"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Monitoreo ambiental y TEJ</w:t>
            </w:r>
          </w:p>
        </w:tc>
        <w:tc>
          <w:tcPr>
            <w:tcW w:w="2631" w:type="dxa"/>
          </w:tcPr>
          <w:p w14:paraId="40597E30"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Desarrolla capacidades locales en licenciamiento y monitoreo ambiental comunitario. </w:t>
            </w:r>
          </w:p>
          <w:p w14:paraId="444AC450"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Explora oportunidades de negocios verdes, etnoturismo y ecoturismo, así como los mecanismos de compensaciones bióticas en el contexto de proyectos energéticos en el territorio. </w:t>
            </w:r>
          </w:p>
        </w:tc>
        <w:tc>
          <w:tcPr>
            <w:tcW w:w="1781" w:type="dxa"/>
          </w:tcPr>
          <w:p w14:paraId="035A18D8"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Ministerio de Minas y Energías -MME-. </w:t>
            </w:r>
          </w:p>
          <w:p w14:paraId="3277B989" w14:textId="77777777" w:rsidR="00F956B1" w:rsidRPr="006B32D9" w:rsidRDefault="00F956B1" w:rsidP="001D12C2">
            <w:pPr>
              <w:jc w:val="both"/>
              <w:rPr>
                <w:rFonts w:ascii="Times New Roman" w:hAnsi="Times New Roman" w:cs="Times New Roman"/>
                <w:sz w:val="20"/>
                <w:szCs w:val="20"/>
              </w:rPr>
            </w:pPr>
          </w:p>
          <w:p w14:paraId="361596E9"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Autoridad Nacional de Licenciamiento Ambiental -ANLA-. </w:t>
            </w:r>
          </w:p>
          <w:p w14:paraId="754B2FD3" w14:textId="77777777" w:rsidR="00F956B1" w:rsidRPr="006B32D9" w:rsidRDefault="00F956B1" w:rsidP="001D12C2">
            <w:pPr>
              <w:jc w:val="both"/>
              <w:rPr>
                <w:rFonts w:ascii="Times New Roman" w:hAnsi="Times New Roman" w:cs="Times New Roman"/>
                <w:sz w:val="20"/>
                <w:szCs w:val="20"/>
              </w:rPr>
            </w:pPr>
          </w:p>
          <w:p w14:paraId="6076A0EB"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Corporación Autónoma Regional de La Guajira -</w:t>
            </w:r>
            <w:proofErr w:type="spellStart"/>
            <w:r w:rsidRPr="006B32D9">
              <w:rPr>
                <w:rFonts w:ascii="Times New Roman" w:hAnsi="Times New Roman" w:cs="Times New Roman"/>
                <w:sz w:val="20"/>
                <w:szCs w:val="20"/>
              </w:rPr>
              <w:t>Corpoguajira</w:t>
            </w:r>
            <w:proofErr w:type="spellEnd"/>
            <w:r w:rsidRPr="006B32D9">
              <w:rPr>
                <w:rFonts w:ascii="Times New Roman" w:hAnsi="Times New Roman" w:cs="Times New Roman"/>
                <w:sz w:val="20"/>
                <w:szCs w:val="20"/>
              </w:rPr>
              <w:t xml:space="preserve">-. </w:t>
            </w:r>
          </w:p>
        </w:tc>
      </w:tr>
      <w:tr w:rsidR="00F956B1" w:rsidRPr="006B32D9" w14:paraId="6F3B510E" w14:textId="77777777" w:rsidTr="001D12C2">
        <w:tc>
          <w:tcPr>
            <w:tcW w:w="976" w:type="dxa"/>
          </w:tcPr>
          <w:p w14:paraId="53934567" w14:textId="77777777" w:rsidR="00F956B1" w:rsidRPr="006B32D9" w:rsidRDefault="00F956B1" w:rsidP="001D12C2">
            <w:pPr>
              <w:jc w:val="center"/>
              <w:rPr>
                <w:rFonts w:ascii="Times New Roman" w:hAnsi="Times New Roman" w:cs="Times New Roman"/>
                <w:b/>
                <w:bCs/>
                <w:sz w:val="20"/>
                <w:szCs w:val="20"/>
              </w:rPr>
            </w:pPr>
            <w:r w:rsidRPr="006B32D9">
              <w:rPr>
                <w:rFonts w:ascii="Times New Roman" w:hAnsi="Times New Roman" w:cs="Times New Roman"/>
                <w:b/>
                <w:bCs/>
                <w:sz w:val="20"/>
                <w:szCs w:val="20"/>
              </w:rPr>
              <w:t>VII</w:t>
            </w:r>
          </w:p>
        </w:tc>
        <w:tc>
          <w:tcPr>
            <w:tcW w:w="1631" w:type="dxa"/>
          </w:tcPr>
          <w:p w14:paraId="53DA68F1"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Viernes 6 y sábado 7 de noviembre de 2026</w:t>
            </w:r>
          </w:p>
        </w:tc>
        <w:tc>
          <w:tcPr>
            <w:tcW w:w="1809" w:type="dxa"/>
          </w:tcPr>
          <w:p w14:paraId="7CF8CE4C"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Diálogo social y transformación de conflictos</w:t>
            </w:r>
          </w:p>
        </w:tc>
        <w:tc>
          <w:tcPr>
            <w:tcW w:w="2631" w:type="dxa"/>
          </w:tcPr>
          <w:p w14:paraId="700F3743"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 xml:space="preserve">Desarrolla capacidades para leer las conflictividades del territorio en el marco de la transición energética y facilitar procesos de diálogo en contextos complejos. Explora los fundamentos de la política pública de diálogo social, sus metodologías y mecanismos de seguimiento, y la construcción de acuerdos sostenibles entre comunidades, empresas y Estado a través de una </w:t>
            </w:r>
            <w:r w:rsidRPr="006B32D9">
              <w:rPr>
                <w:rFonts w:ascii="Times New Roman" w:hAnsi="Times New Roman" w:cs="Times New Roman"/>
                <w:sz w:val="20"/>
                <w:szCs w:val="20"/>
              </w:rPr>
              <w:lastRenderedPageBreak/>
              <w:t xml:space="preserve">simulación integral aplicada a escenarios reales de la TEJ. </w:t>
            </w:r>
          </w:p>
        </w:tc>
        <w:tc>
          <w:tcPr>
            <w:tcW w:w="1781" w:type="dxa"/>
          </w:tcPr>
          <w:p w14:paraId="12C7F6B6"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lastRenderedPageBreak/>
              <w:t xml:space="preserve">Transforma </w:t>
            </w:r>
          </w:p>
          <w:p w14:paraId="1C5050DA" w14:textId="77777777" w:rsidR="00F956B1" w:rsidRPr="006B32D9" w:rsidRDefault="00F956B1" w:rsidP="001D12C2">
            <w:pPr>
              <w:jc w:val="both"/>
              <w:rPr>
                <w:rFonts w:ascii="Times New Roman" w:hAnsi="Times New Roman" w:cs="Times New Roman"/>
                <w:sz w:val="20"/>
                <w:szCs w:val="20"/>
              </w:rPr>
            </w:pPr>
          </w:p>
          <w:p w14:paraId="503A7F87" w14:textId="77777777" w:rsidR="00F956B1" w:rsidRPr="006B32D9" w:rsidRDefault="00F956B1" w:rsidP="001D12C2">
            <w:pPr>
              <w:jc w:val="both"/>
              <w:rPr>
                <w:rFonts w:ascii="Times New Roman" w:hAnsi="Times New Roman" w:cs="Times New Roman"/>
                <w:sz w:val="20"/>
                <w:szCs w:val="20"/>
              </w:rPr>
            </w:pPr>
            <w:r w:rsidRPr="006B32D9">
              <w:rPr>
                <w:rFonts w:ascii="Times New Roman" w:hAnsi="Times New Roman" w:cs="Times New Roman"/>
                <w:sz w:val="20"/>
                <w:szCs w:val="20"/>
              </w:rPr>
              <w:t>Centro Regional de Empresas y Emprendimientos Responsables -CREER-</w:t>
            </w:r>
          </w:p>
        </w:tc>
      </w:tr>
    </w:tbl>
    <w:p w14:paraId="2C239E3A" w14:textId="06F53E03" w:rsidR="00107506" w:rsidRPr="00107506" w:rsidRDefault="00107506" w:rsidP="00107506">
      <w:pPr>
        <w:spacing w:before="100" w:beforeAutospacing="1" w:after="100" w:afterAutospacing="1"/>
        <w:jc w:val="both"/>
        <w:rPr>
          <w:rFonts w:ascii="Work Sans" w:eastAsia="Times New Roman" w:hAnsi="Work Sans" w:cs="Times New Roman"/>
          <w:sz w:val="24"/>
          <w:szCs w:val="24"/>
        </w:rPr>
      </w:pPr>
      <w:r w:rsidRPr="00107506">
        <w:rPr>
          <w:rFonts w:ascii="Work Sans" w:eastAsia="Times New Roman" w:hAnsi="Work Sans" w:cs="Times New Roman"/>
          <w:sz w:val="24"/>
          <w:szCs w:val="24"/>
        </w:rPr>
        <w:t xml:space="preserve">El Ministerio de Minas y Energía -MME- y Centro Regional de Empresas y Emprendimientos Responsables -CREER- conociendo la trayectoria y experiencia de Movilizatorio en el área de comunicación y en la reducción de la polarización, queremos extenderle la invitación para que lideren el tercer módulo del programa, aportando su conocimiento y capacidad técnica a este espacio de aprendizaje relativo a las comunicaciones, narrativas y diálogo en torno a la TEJ. Consideramos que su participación representaría un aporte significativo para el fortalecimiento de capacidades de la instancia de diálogo y seguimiento territorial en La Guajira. De igual forma, agradeceríamos que considerara apoyar esta jornada mediante la financiación de la alimentación de los participantes durante la sesión a su cargo, como único aporte económico requerido para el desarrollo de la sesión III. </w:t>
      </w:r>
    </w:p>
    <w:p w14:paraId="51C2050E" w14:textId="6D79F09B" w:rsidR="00107506" w:rsidRDefault="00107506" w:rsidP="00107506">
      <w:pPr>
        <w:spacing w:before="100" w:beforeAutospacing="1" w:after="100" w:afterAutospacing="1"/>
        <w:jc w:val="both"/>
        <w:rPr>
          <w:rFonts w:ascii="Work Sans" w:eastAsia="Times New Roman" w:hAnsi="Work Sans" w:cs="Times New Roman"/>
          <w:sz w:val="24"/>
          <w:szCs w:val="24"/>
        </w:rPr>
      </w:pPr>
      <w:r w:rsidRPr="00107506">
        <w:rPr>
          <w:rFonts w:ascii="Work Sans" w:eastAsia="Times New Roman" w:hAnsi="Work Sans" w:cs="Times New Roman"/>
          <w:sz w:val="24"/>
          <w:szCs w:val="24"/>
        </w:rPr>
        <w:t>Con el fin de avanzar en la planeación logística y académica del programa, agradeceríamos contar con su respuesta a más tardar el 7 de agosto de 2026.</w:t>
      </w:r>
    </w:p>
    <w:p w14:paraId="45F12472" w14:textId="77777777" w:rsidR="004262BB" w:rsidRDefault="004262BB" w:rsidP="00107506">
      <w:pPr>
        <w:spacing w:before="100" w:beforeAutospacing="1" w:after="100" w:afterAutospacing="1"/>
        <w:jc w:val="both"/>
        <w:rPr>
          <w:rFonts w:ascii="Work Sans" w:eastAsia="Times New Roman" w:hAnsi="Work Sans" w:cs="Times New Roman"/>
          <w:sz w:val="24"/>
          <w:szCs w:val="24"/>
        </w:rPr>
      </w:pPr>
    </w:p>
    <w:p w14:paraId="061939FA" w14:textId="1AC10AAC" w:rsidR="004262BB" w:rsidRDefault="004262BB" w:rsidP="00107506">
      <w:pPr>
        <w:spacing w:before="100" w:beforeAutospacing="1" w:after="100" w:afterAutospacing="1"/>
        <w:jc w:val="both"/>
        <w:rPr>
          <w:rFonts w:ascii="Work Sans" w:eastAsia="Times New Roman" w:hAnsi="Work Sans" w:cs="Times New Roman"/>
          <w:sz w:val="24"/>
          <w:szCs w:val="24"/>
        </w:rPr>
      </w:pPr>
      <w:r>
        <w:rPr>
          <w:rFonts w:ascii="Work Sans" w:eastAsia="Times New Roman" w:hAnsi="Work Sans" w:cs="Times New Roman"/>
          <w:sz w:val="24"/>
          <w:szCs w:val="24"/>
        </w:rPr>
        <w:t xml:space="preserve">Cordialmente, </w:t>
      </w:r>
    </w:p>
    <w:p w14:paraId="641046C2" w14:textId="77777777" w:rsidR="00EB188F" w:rsidRDefault="00EB188F" w:rsidP="00107506">
      <w:pPr>
        <w:spacing w:before="100" w:beforeAutospacing="1" w:after="100" w:afterAutospacing="1"/>
        <w:jc w:val="both"/>
        <w:rPr>
          <w:rFonts w:ascii="Work Sans" w:eastAsia="Times New Roman" w:hAnsi="Work Sans" w:cs="Times New Roman"/>
          <w:sz w:val="24"/>
          <w:szCs w:val="24"/>
        </w:rPr>
      </w:pPr>
    </w:p>
    <w:p w14:paraId="1F2759C0" w14:textId="7AC31E94" w:rsidR="004262BB" w:rsidRDefault="00EB188F" w:rsidP="00107506">
      <w:pPr>
        <w:spacing w:before="100" w:beforeAutospacing="1" w:after="100" w:afterAutospacing="1"/>
        <w:jc w:val="both"/>
        <w:rPr>
          <w:rFonts w:ascii="Work Sans" w:eastAsia="Times New Roman" w:hAnsi="Work Sans" w:cs="Times New Roman"/>
          <w:sz w:val="24"/>
          <w:szCs w:val="24"/>
        </w:rPr>
      </w:pPr>
      <w:r w:rsidRPr="00BF688D">
        <w:rPr>
          <w:rFonts w:ascii="Work Sans" w:hAnsi="Work Sans"/>
          <w:noProof/>
          <w:sz w:val="24"/>
          <w:szCs w:val="24"/>
        </w:rPr>
        <w:drawing>
          <wp:anchor distT="0" distB="0" distL="114300" distR="114300" simplePos="0" relativeHeight="251662336" behindDoc="1" locked="0" layoutInCell="1" allowOverlap="1" wp14:anchorId="69F29F11" wp14:editId="4BC408F8">
            <wp:simplePos x="0" y="0"/>
            <wp:positionH relativeFrom="column">
              <wp:posOffset>-182880</wp:posOffset>
            </wp:positionH>
            <wp:positionV relativeFrom="paragraph">
              <wp:posOffset>106680</wp:posOffset>
            </wp:positionV>
            <wp:extent cx="2476500" cy="1104900"/>
            <wp:effectExtent l="0" t="0" r="0" b="0"/>
            <wp:wrapNone/>
            <wp:docPr id="1443756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0" cy="1104900"/>
                    </a:xfrm>
                    <a:prstGeom prst="rect">
                      <a:avLst/>
                    </a:prstGeom>
                    <a:noFill/>
                    <a:ln>
                      <a:noFill/>
                    </a:ln>
                  </pic:spPr>
                </pic:pic>
              </a:graphicData>
            </a:graphic>
          </wp:anchor>
        </w:drawing>
      </w:r>
    </w:p>
    <w:p w14:paraId="0E87ACC6" w14:textId="15F2FBF2" w:rsidR="004262BB" w:rsidRDefault="003E5AB8" w:rsidP="00107506">
      <w:pPr>
        <w:spacing w:before="100" w:beforeAutospacing="1" w:after="100" w:afterAutospacing="1"/>
        <w:jc w:val="both"/>
        <w:rPr>
          <w:rFonts w:ascii="Work Sans" w:eastAsia="Times New Roman" w:hAnsi="Work Sans" w:cs="Times New Roman"/>
          <w:sz w:val="24"/>
          <w:szCs w:val="24"/>
        </w:rPr>
      </w:pPr>
      <w:r>
        <w:rPr>
          <w:noProof/>
        </w:rPr>
        <w:drawing>
          <wp:anchor distT="0" distB="0" distL="114300" distR="114300" simplePos="0" relativeHeight="251660288" behindDoc="0" locked="0" layoutInCell="1" allowOverlap="1" wp14:anchorId="1E06DC73" wp14:editId="23FEE381">
            <wp:simplePos x="0" y="0"/>
            <wp:positionH relativeFrom="column">
              <wp:posOffset>3192780</wp:posOffset>
            </wp:positionH>
            <wp:positionV relativeFrom="paragraph">
              <wp:posOffset>37465</wp:posOffset>
            </wp:positionV>
            <wp:extent cx="1607820" cy="702945"/>
            <wp:effectExtent l="0" t="0" r="0" b="1905"/>
            <wp:wrapNone/>
            <wp:docPr id="2" name="Imagen 1">
              <a:extLst xmlns:a="http://schemas.openxmlformats.org/drawingml/2006/main">
                <a:ext uri="{FF2B5EF4-FFF2-40B4-BE49-F238E27FC236}">
                  <a16:creationId xmlns:a16="http://schemas.microsoft.com/office/drawing/2014/main" id="{62E82D00-0F67-439E-B0AC-553EE25CE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62E82D00-0F67-439E-B0AC-553EE25CE7B0}"/>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07820" cy="702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C917AD" w14:textId="77777777" w:rsidR="004262BB" w:rsidRDefault="004262BB" w:rsidP="00107506">
      <w:pPr>
        <w:spacing w:before="100" w:beforeAutospacing="1" w:after="100" w:afterAutospacing="1"/>
        <w:jc w:val="both"/>
        <w:rPr>
          <w:rFonts w:ascii="Work Sans" w:eastAsia="Times New Roman" w:hAnsi="Work Sans" w:cs="Times New Roman"/>
          <w:sz w:val="24"/>
          <w:szCs w:val="24"/>
        </w:rPr>
      </w:pP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5362"/>
      </w:tblGrid>
      <w:tr w:rsidR="009B7D0D" w14:paraId="0B0EB76A" w14:textId="77777777" w:rsidTr="00513289">
        <w:tc>
          <w:tcPr>
            <w:tcW w:w="4414" w:type="dxa"/>
          </w:tcPr>
          <w:p w14:paraId="29F6EFF4" w14:textId="77777777" w:rsidR="00D60233" w:rsidRPr="00D60233" w:rsidRDefault="009B7D0D" w:rsidP="00D60233">
            <w:pPr>
              <w:rPr>
                <w:rFonts w:ascii="Work Sans" w:hAnsi="Work Sans"/>
                <w:sz w:val="24"/>
                <w:szCs w:val="24"/>
                <w:lang w:val="es-ES_tradnl"/>
              </w:rPr>
            </w:pPr>
            <w:r w:rsidRPr="00D60233">
              <w:rPr>
                <w:rFonts w:ascii="Work Sans" w:eastAsia="Times New Roman" w:hAnsi="Work Sans" w:cs="Times New Roman"/>
                <w:b/>
                <w:bCs/>
                <w:kern w:val="0"/>
                <w:sz w:val="24"/>
                <w:szCs w:val="24"/>
                <w:lang w:val="es-MX" w:eastAsia="es-MX"/>
                <w14:ligatures w14:val="none"/>
              </w:rPr>
              <w:t xml:space="preserve">Juan Bernardo Rosado Duque </w:t>
            </w:r>
            <w:r w:rsidR="00E56BEC" w:rsidRPr="00D60233">
              <w:rPr>
                <w:rFonts w:ascii="Work Sans" w:eastAsia="Times New Roman" w:hAnsi="Work Sans" w:cs="Times New Roman"/>
                <w:b/>
                <w:bCs/>
                <w:kern w:val="0"/>
                <w:sz w:val="24"/>
                <w:szCs w:val="24"/>
                <w:lang w:val="es-MX" w:eastAsia="es-MX"/>
                <w14:ligatures w14:val="none"/>
              </w:rPr>
              <w:br/>
            </w:r>
            <w:r w:rsidR="00D60233" w:rsidRPr="00D60233">
              <w:rPr>
                <w:rFonts w:ascii="Work Sans" w:hAnsi="Work Sans"/>
                <w:sz w:val="24"/>
                <w:szCs w:val="24"/>
                <w:lang w:val="es-ES_tradnl"/>
              </w:rPr>
              <w:t>Jefe Oficina de Asuntos Ambientales y Sociales</w:t>
            </w:r>
          </w:p>
          <w:p w14:paraId="01602B80" w14:textId="77777777" w:rsidR="00D60233" w:rsidRPr="00D60233" w:rsidRDefault="00D60233" w:rsidP="00D60233">
            <w:pPr>
              <w:rPr>
                <w:rFonts w:ascii="Work Sans" w:hAnsi="Work Sans"/>
                <w:lang w:val="es-ES_tradnl"/>
              </w:rPr>
            </w:pPr>
            <w:r w:rsidRPr="00D60233">
              <w:rPr>
                <w:rFonts w:ascii="Work Sans" w:hAnsi="Work Sans"/>
                <w:sz w:val="24"/>
                <w:szCs w:val="24"/>
                <w:lang w:val="es-ES_tradnl"/>
              </w:rPr>
              <w:t>Ministerio de Minas y Energía</w:t>
            </w:r>
          </w:p>
          <w:p w14:paraId="2B0B11F8" w14:textId="61718864" w:rsidR="00E56BEC" w:rsidRPr="00D60233" w:rsidRDefault="00E56BEC" w:rsidP="00107506">
            <w:pPr>
              <w:spacing w:before="100" w:beforeAutospacing="1" w:after="100" w:afterAutospacing="1"/>
              <w:jc w:val="both"/>
              <w:rPr>
                <w:rFonts w:ascii="Work Sans" w:eastAsia="Times New Roman" w:hAnsi="Work Sans" w:cs="Times New Roman"/>
                <w:kern w:val="0"/>
                <w:sz w:val="24"/>
                <w:szCs w:val="24"/>
                <w:lang w:val="es-MX" w:eastAsia="es-MX"/>
                <w14:ligatures w14:val="none"/>
              </w:rPr>
            </w:pPr>
          </w:p>
        </w:tc>
        <w:tc>
          <w:tcPr>
            <w:tcW w:w="5362" w:type="dxa"/>
          </w:tcPr>
          <w:p w14:paraId="7190344A" w14:textId="77777777" w:rsidR="00E56BEC" w:rsidRPr="00D60233" w:rsidRDefault="009B7D0D" w:rsidP="004262BB">
            <w:pPr>
              <w:ind w:left="720"/>
              <w:rPr>
                <w:rFonts w:ascii="Work Sans" w:hAnsi="Work Sans"/>
                <w:sz w:val="24"/>
                <w:szCs w:val="24"/>
              </w:rPr>
            </w:pPr>
            <w:r w:rsidRPr="00D60233">
              <w:rPr>
                <w:rFonts w:ascii="Work Sans" w:eastAsia="Times New Roman" w:hAnsi="Work Sans"/>
                <w:b/>
                <w:bCs/>
                <w:sz w:val="24"/>
                <w:szCs w:val="24"/>
              </w:rPr>
              <w:t xml:space="preserve">Viviana Arango </w:t>
            </w:r>
            <w:r w:rsidR="00E56BEC" w:rsidRPr="00D60233">
              <w:rPr>
                <w:rFonts w:ascii="Work Sans" w:eastAsia="Times New Roman" w:hAnsi="Work Sans"/>
                <w:sz w:val="24"/>
                <w:szCs w:val="24"/>
              </w:rPr>
              <w:br/>
            </w:r>
            <w:r w:rsidR="00E56BEC" w:rsidRPr="00D60233">
              <w:rPr>
                <w:rFonts w:ascii="Work Sans" w:hAnsi="Work Sans"/>
                <w:sz w:val="24"/>
                <w:szCs w:val="24"/>
              </w:rPr>
              <w:t>Directora de operaciones</w:t>
            </w:r>
          </w:p>
          <w:p w14:paraId="6F93EC6D" w14:textId="77777777" w:rsidR="00E56BEC" w:rsidRPr="00D60233" w:rsidRDefault="00E56BEC" w:rsidP="004262BB">
            <w:pPr>
              <w:ind w:left="720"/>
              <w:rPr>
                <w:rFonts w:ascii="Work Sans" w:hAnsi="Work Sans"/>
                <w:sz w:val="24"/>
                <w:szCs w:val="24"/>
              </w:rPr>
            </w:pPr>
            <w:r w:rsidRPr="00D60233">
              <w:rPr>
                <w:rFonts w:ascii="Work Sans" w:hAnsi="Work Sans"/>
                <w:sz w:val="24"/>
                <w:szCs w:val="24"/>
              </w:rPr>
              <w:t xml:space="preserve">Centro Regional de Empresas y Emprendimientos Responsables </w:t>
            </w:r>
          </w:p>
          <w:p w14:paraId="62BD1655" w14:textId="28C6D988" w:rsidR="00E56BEC" w:rsidRPr="00D60233" w:rsidRDefault="00E56BEC" w:rsidP="004262BB">
            <w:pPr>
              <w:ind w:left="720"/>
              <w:rPr>
                <w:rFonts w:ascii="Work Sans" w:eastAsia="Times New Roman" w:hAnsi="Work Sans"/>
              </w:rPr>
            </w:pPr>
            <w:r w:rsidRPr="00D60233">
              <w:rPr>
                <w:rFonts w:ascii="Work Sans" w:hAnsi="Work Sans"/>
                <w:sz w:val="24"/>
                <w:szCs w:val="24"/>
              </w:rPr>
              <w:t>CREER</w:t>
            </w:r>
          </w:p>
        </w:tc>
      </w:tr>
    </w:tbl>
    <w:p w14:paraId="06CDD988" w14:textId="77777777" w:rsidR="00147D4E" w:rsidRPr="00BF688D" w:rsidRDefault="00147D4E" w:rsidP="00147D4E">
      <w:pPr>
        <w:jc w:val="both"/>
        <w:rPr>
          <w:rFonts w:ascii="Work Sans" w:hAnsi="Work Sans" w:cs="Times New Roman"/>
          <w:b/>
          <w:bCs/>
          <w:sz w:val="24"/>
          <w:szCs w:val="24"/>
        </w:rPr>
      </w:pPr>
      <w:r w:rsidRPr="00BF688D">
        <w:rPr>
          <w:rFonts w:ascii="Work Sans" w:hAnsi="Work Sans" w:cs="Times New Roman"/>
          <w:sz w:val="24"/>
          <w:szCs w:val="24"/>
        </w:rPr>
        <w:tab/>
      </w:r>
      <w:r w:rsidRPr="00BF688D">
        <w:rPr>
          <w:rFonts w:ascii="Work Sans" w:hAnsi="Work Sans" w:cs="Times New Roman"/>
          <w:sz w:val="24"/>
          <w:szCs w:val="24"/>
        </w:rPr>
        <w:tab/>
      </w:r>
      <w:r w:rsidRPr="00BF688D">
        <w:rPr>
          <w:rFonts w:ascii="Work Sans" w:hAnsi="Work Sans" w:cs="Times New Roman"/>
          <w:sz w:val="24"/>
          <w:szCs w:val="24"/>
        </w:rPr>
        <w:tab/>
      </w:r>
      <w:r w:rsidRPr="00BF688D">
        <w:rPr>
          <w:rFonts w:ascii="Work Sans" w:hAnsi="Work Sans" w:cs="Times New Roman"/>
          <w:sz w:val="24"/>
          <w:szCs w:val="24"/>
        </w:rPr>
        <w:tab/>
      </w:r>
      <w:r w:rsidRPr="00BF688D">
        <w:rPr>
          <w:rFonts w:ascii="Work Sans" w:hAnsi="Work Sans" w:cs="Times New Roman"/>
          <w:sz w:val="24"/>
          <w:szCs w:val="24"/>
        </w:rPr>
        <w:tab/>
      </w:r>
      <w:r w:rsidRPr="00BF688D">
        <w:rPr>
          <w:rFonts w:ascii="Work Sans" w:hAnsi="Work Sans" w:cs="Times New Roman"/>
          <w:sz w:val="24"/>
          <w:szCs w:val="24"/>
        </w:rPr>
        <w:tab/>
      </w:r>
    </w:p>
    <w:p w14:paraId="221EE829" w14:textId="77777777" w:rsidR="00147D4E" w:rsidRPr="00BF688D" w:rsidRDefault="00147D4E" w:rsidP="00147D4E">
      <w:pPr>
        <w:ind w:left="80" w:right="48"/>
        <w:jc w:val="both"/>
        <w:rPr>
          <w:rFonts w:ascii="Work Sans" w:hAnsi="Work Sans" w:cs="Times New Roman"/>
          <w:sz w:val="24"/>
          <w:szCs w:val="24"/>
        </w:rPr>
      </w:pPr>
    </w:p>
    <w:p w14:paraId="7796AC19" w14:textId="77777777" w:rsidR="004C6F87" w:rsidRPr="00BF688D" w:rsidRDefault="004C6F87">
      <w:pPr>
        <w:rPr>
          <w:rFonts w:ascii="Work Sans" w:hAnsi="Work Sans"/>
          <w:sz w:val="24"/>
          <w:szCs w:val="24"/>
        </w:rPr>
      </w:pPr>
    </w:p>
    <w:sectPr w:rsidR="004C6F87" w:rsidRPr="00BF688D" w:rsidSect="004C6F87">
      <w:headerReference w:type="even" r:id="rId12"/>
      <w:headerReference w:type="default" r:id="rId13"/>
      <w:footerReference w:type="default" r:id="rId14"/>
      <w:pgSz w:w="12240" w:h="15840"/>
      <w:pgMar w:top="1417" w:right="1701" w:bottom="1417" w:left="1701" w:header="749" w:footer="1326"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1AABDD" w14:textId="77777777" w:rsidR="00B22371" w:rsidRDefault="00B22371">
      <w:r>
        <w:separator/>
      </w:r>
    </w:p>
  </w:endnote>
  <w:endnote w:type="continuationSeparator" w:id="0">
    <w:p w14:paraId="2B76305B" w14:textId="77777777" w:rsidR="00B22371" w:rsidRDefault="00B22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1" w:fontKey="{2ED85371-C658-43F2-B7DC-7922ED39ED7F}"/>
  </w:font>
  <w:font w:name="Calibri">
    <w:panose1 w:val="020F0502020204030204"/>
    <w:charset w:val="00"/>
    <w:family w:val="swiss"/>
    <w:pitch w:val="variable"/>
    <w:sig w:usb0="E4002EFF" w:usb1="C200247B" w:usb2="00000009" w:usb3="00000000" w:csb0="000001FF" w:csb1="00000000"/>
    <w:embedRegular r:id="rId2" w:fontKey="{0CD079E2-B1F7-4BD7-B7EF-53979296E8A6}"/>
    <w:embedBold r:id="rId3" w:fontKey="{8C961CA3-E29B-41E1-A81C-6EDA972288F6}"/>
  </w:font>
  <w:font w:name="Work Sans">
    <w:charset w:val="00"/>
    <w:family w:val="auto"/>
    <w:pitch w:val="variable"/>
    <w:sig w:usb0="A00000FF" w:usb1="5000E07B" w:usb2="00000000" w:usb3="00000000" w:csb0="00000193" w:csb1="00000000"/>
    <w:embedRegular r:id="rId4" w:fontKey="{E27412F9-775C-42DE-BBA7-ADB0E1805EE1}"/>
    <w:embedBold r:id="rId5" w:fontKey="{5D71E095-0F5D-44CB-9D3D-6D23E2220C4F}"/>
  </w:font>
  <w:font w:name="Cambria">
    <w:panose1 w:val="02040503050406030204"/>
    <w:charset w:val="00"/>
    <w:family w:val="roman"/>
    <w:pitch w:val="variable"/>
    <w:sig w:usb0="E00006FF" w:usb1="420024FF" w:usb2="02000000" w:usb3="00000000" w:csb0="0000019F" w:csb1="00000000"/>
    <w:embedRegular r:id="rId6" w:fontKey="{734395C7-0869-4F5C-B4D5-B923FA9D78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C90E8" w14:textId="77777777" w:rsidR="00A632E2" w:rsidRDefault="00CE2AFA">
    <w:pPr>
      <w:pBdr>
        <w:top w:val="nil"/>
        <w:left w:val="nil"/>
        <w:bottom w:val="nil"/>
        <w:right w:val="nil"/>
        <w:between w:val="nil"/>
      </w:pBdr>
      <w:spacing w:line="14" w:lineRule="auto"/>
      <w:rPr>
        <w:color w:val="000000"/>
        <w:sz w:val="20"/>
        <w:szCs w:val="20"/>
      </w:rPr>
    </w:pPr>
    <w:r>
      <w:rPr>
        <w:noProof/>
      </w:rPr>
      <w:drawing>
        <wp:anchor distT="0" distB="0" distL="0" distR="0" simplePos="0" relativeHeight="251660288" behindDoc="1" locked="0" layoutInCell="1" hidden="0" allowOverlap="1" wp14:anchorId="72A85B68" wp14:editId="3FC78A89">
          <wp:simplePos x="0" y="0"/>
          <wp:positionH relativeFrom="column">
            <wp:posOffset>233172</wp:posOffset>
          </wp:positionH>
          <wp:positionV relativeFrom="paragraph">
            <wp:posOffset>0</wp:posOffset>
          </wp:positionV>
          <wp:extent cx="5096256" cy="714756"/>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96256" cy="714756"/>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9AB3E" w14:textId="77777777" w:rsidR="00B22371" w:rsidRDefault="00B22371">
      <w:r>
        <w:separator/>
      </w:r>
    </w:p>
  </w:footnote>
  <w:footnote w:type="continuationSeparator" w:id="0">
    <w:p w14:paraId="2FCACACE" w14:textId="77777777" w:rsidR="00B22371" w:rsidRDefault="00B223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9474907"/>
      <w:docPartObj>
        <w:docPartGallery w:val="Page Numbers (Top of Page)"/>
        <w:docPartUnique/>
      </w:docPartObj>
    </w:sdtPr>
    <w:sdtContent>
      <w:p w14:paraId="335363E1" w14:textId="474A2218"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E41445">
          <w:rPr>
            <w:rStyle w:val="Nmerodepgina"/>
            <w:noProof/>
          </w:rPr>
          <w:t>3</w:t>
        </w:r>
        <w:r>
          <w:rPr>
            <w:rStyle w:val="Nmerodepgina"/>
          </w:rPr>
          <w:fldChar w:fldCharType="end"/>
        </w:r>
      </w:p>
    </w:sdtContent>
  </w:sdt>
  <w:p w14:paraId="212B74A6" w14:textId="77777777" w:rsidR="00BC50BD" w:rsidRDefault="00BC50BD" w:rsidP="00BC50BD">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040716837"/>
      <w:docPartObj>
        <w:docPartGallery w:val="Page Numbers (Top of Page)"/>
        <w:docPartUnique/>
      </w:docPartObj>
    </w:sdtPr>
    <w:sdtContent>
      <w:p w14:paraId="3A1A0629" w14:textId="77777777"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7E6F93A8" w14:textId="5D5AC032" w:rsidR="009711A4" w:rsidRDefault="009711A4" w:rsidP="00BC50BD">
    <w:pPr>
      <w:pBdr>
        <w:top w:val="nil"/>
        <w:left w:val="nil"/>
        <w:bottom w:val="nil"/>
        <w:right w:val="nil"/>
        <w:between w:val="nil"/>
      </w:pBdr>
      <w:spacing w:line="14" w:lineRule="auto"/>
      <w:ind w:right="360"/>
      <w:rPr>
        <w:color w:val="000000"/>
        <w:sz w:val="20"/>
        <w:szCs w:val="20"/>
      </w:rPr>
    </w:pPr>
    <w:r>
      <w:rPr>
        <w:noProof/>
        <w:color w:val="000000"/>
        <w:sz w:val="20"/>
        <w:szCs w:val="20"/>
      </w:rPr>
      <w:drawing>
        <wp:anchor distT="0" distB="0" distL="0" distR="0" simplePos="0" relativeHeight="251658240" behindDoc="1" locked="0" layoutInCell="1" hidden="0" allowOverlap="1" wp14:anchorId="1C95C348" wp14:editId="683FB0E7">
          <wp:simplePos x="0" y="0"/>
          <wp:positionH relativeFrom="page">
            <wp:posOffset>3540125</wp:posOffset>
          </wp:positionH>
          <wp:positionV relativeFrom="page">
            <wp:posOffset>406400</wp:posOffset>
          </wp:positionV>
          <wp:extent cx="675131" cy="586740"/>
          <wp:effectExtent l="0" t="0" r="0" b="0"/>
          <wp:wrapNone/>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675131" cy="586740"/>
                  </a:xfrm>
                  <a:prstGeom prst="rect">
                    <a:avLst/>
                  </a:prstGeom>
                  <a:ln/>
                </pic:spPr>
              </pic:pic>
            </a:graphicData>
          </a:graphic>
        </wp:anchor>
      </w:drawing>
    </w:r>
  </w:p>
  <w:p w14:paraId="7211B294" w14:textId="77777777" w:rsidR="009711A4" w:rsidRDefault="009711A4" w:rsidP="00BC50BD">
    <w:pPr>
      <w:pBdr>
        <w:top w:val="nil"/>
        <w:left w:val="nil"/>
        <w:bottom w:val="nil"/>
        <w:right w:val="nil"/>
        <w:between w:val="nil"/>
      </w:pBdr>
      <w:spacing w:line="14" w:lineRule="auto"/>
      <w:ind w:right="360"/>
      <w:rPr>
        <w:color w:val="000000"/>
        <w:sz w:val="20"/>
        <w:szCs w:val="20"/>
      </w:rPr>
    </w:pPr>
  </w:p>
  <w:p w14:paraId="136B308F" w14:textId="7B7BF45E" w:rsidR="00A632E2" w:rsidRDefault="00A632E2" w:rsidP="00BC50BD">
    <w:pPr>
      <w:pBdr>
        <w:top w:val="nil"/>
        <w:left w:val="nil"/>
        <w:bottom w:val="nil"/>
        <w:right w:val="nil"/>
        <w:between w:val="nil"/>
      </w:pBdr>
      <w:spacing w:line="14" w:lineRule="auto"/>
      <w:ind w:right="360"/>
      <w:rPr>
        <w:color w:val="000000"/>
        <w:sz w:val="20"/>
        <w:szCs w:val="20"/>
      </w:rPr>
    </w:pPr>
  </w:p>
  <w:p w14:paraId="52AB6C1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F212641"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A9C45E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80832C9"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F2FE318"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3B4C6B2"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2475CD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7A48E0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908F97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5F688AB"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2B64B31"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C60341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E1B50B6"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530798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A5B68E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2538AD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DAAC0A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1BB5C0F"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F6544F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BA124A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6A77732"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02FD3F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DE82F2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54E8686"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336738F"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1C16668"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2B0E53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CA95A98"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468541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338CAA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B4CB2AA"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6AD31E4"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93FEB31"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2C8B6C4"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22A841F"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05C211F"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4A0297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475A84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9AFAA1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44AF3B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00E858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2846CEB"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4040A19"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1AED4D8"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C439EC4"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6207CB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9ECDEE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9EF7E0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F388F5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C3433E9"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30C5010"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4B19BC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593585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C06FBE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C951F4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605E46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976D771"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8A90E3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1E1313D"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CD5FF72"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30B358CA"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1FCF66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2239E85"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C85F5E2"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AA8E127"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B83C632"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5C1687CB"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3394ECF"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0D723456"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8980C8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9370B3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75059C0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43E6158E"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860F09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9E430E3"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DA72981"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697A6D0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24B55E3C" w14:textId="77777777" w:rsidR="00945B16" w:rsidRDefault="00945B16" w:rsidP="00BC50BD">
    <w:pPr>
      <w:pBdr>
        <w:top w:val="nil"/>
        <w:left w:val="nil"/>
        <w:bottom w:val="nil"/>
        <w:right w:val="nil"/>
        <w:between w:val="nil"/>
      </w:pBdr>
      <w:spacing w:line="14" w:lineRule="auto"/>
      <w:ind w:right="360"/>
      <w:rPr>
        <w:color w:val="000000"/>
        <w:sz w:val="20"/>
        <w:szCs w:val="20"/>
      </w:rPr>
    </w:pPr>
  </w:p>
  <w:p w14:paraId="116A7257" w14:textId="77777777" w:rsidR="00945B16" w:rsidRDefault="00945B16" w:rsidP="00BC50BD">
    <w:pPr>
      <w:pBdr>
        <w:top w:val="nil"/>
        <w:left w:val="nil"/>
        <w:bottom w:val="nil"/>
        <w:right w:val="nil"/>
        <w:between w:val="nil"/>
      </w:pBdr>
      <w:spacing w:line="14" w:lineRule="auto"/>
      <w:ind w:right="360"/>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645A86"/>
    <w:multiLevelType w:val="multilevel"/>
    <w:tmpl w:val="3EBE8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7D102F2"/>
    <w:multiLevelType w:val="multilevel"/>
    <w:tmpl w:val="3E744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ED4A6C"/>
    <w:multiLevelType w:val="multilevel"/>
    <w:tmpl w:val="96720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6F13D35"/>
    <w:multiLevelType w:val="multilevel"/>
    <w:tmpl w:val="A9F6E034"/>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F19383E"/>
    <w:multiLevelType w:val="hybridMultilevel"/>
    <w:tmpl w:val="2F6E0332"/>
    <w:lvl w:ilvl="0" w:tplc="240A0001">
      <w:start w:val="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9C404A5"/>
    <w:multiLevelType w:val="multilevel"/>
    <w:tmpl w:val="D9F4E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C450A71"/>
    <w:multiLevelType w:val="hybridMultilevel"/>
    <w:tmpl w:val="EC1A609E"/>
    <w:lvl w:ilvl="0" w:tplc="B0983BD6">
      <w:numFmt w:val="bullet"/>
      <w:lvlText w:val=""/>
      <w:lvlJc w:val="left"/>
      <w:pPr>
        <w:ind w:left="720" w:hanging="360"/>
      </w:pPr>
      <w:rPr>
        <w:rFonts w:ascii="Symbol" w:eastAsia="Arial" w:hAnsi="Symbo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63655A21"/>
    <w:multiLevelType w:val="multilevel"/>
    <w:tmpl w:val="1AE8AC4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E0326E0"/>
    <w:multiLevelType w:val="hybridMultilevel"/>
    <w:tmpl w:val="11728F1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61895471">
    <w:abstractNumId w:val="6"/>
  </w:num>
  <w:num w:numId="2" w16cid:durableId="1583565053">
    <w:abstractNumId w:val="7"/>
  </w:num>
  <w:num w:numId="3" w16cid:durableId="1629627025">
    <w:abstractNumId w:val="3"/>
  </w:num>
  <w:num w:numId="4" w16cid:durableId="1597444957">
    <w:abstractNumId w:val="4"/>
  </w:num>
  <w:num w:numId="5" w16cid:durableId="1436513038">
    <w:abstractNumId w:val="5"/>
  </w:num>
  <w:num w:numId="6" w16cid:durableId="54547969">
    <w:abstractNumId w:val="1"/>
  </w:num>
  <w:num w:numId="7" w16cid:durableId="2071148164">
    <w:abstractNumId w:val="2"/>
  </w:num>
  <w:num w:numId="8" w16cid:durableId="1484345941">
    <w:abstractNumId w:val="0"/>
  </w:num>
  <w:num w:numId="9" w16cid:durableId="131513528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32E2"/>
    <w:rsid w:val="00001562"/>
    <w:rsid w:val="00003104"/>
    <w:rsid w:val="00061693"/>
    <w:rsid w:val="00075249"/>
    <w:rsid w:val="00104CE5"/>
    <w:rsid w:val="00107506"/>
    <w:rsid w:val="00115A6D"/>
    <w:rsid w:val="00121CF0"/>
    <w:rsid w:val="00147D4E"/>
    <w:rsid w:val="001872CD"/>
    <w:rsid w:val="001B4F65"/>
    <w:rsid w:val="001E3FA1"/>
    <w:rsid w:val="00214B51"/>
    <w:rsid w:val="00227FD6"/>
    <w:rsid w:val="002845D0"/>
    <w:rsid w:val="002C65C8"/>
    <w:rsid w:val="002F4A40"/>
    <w:rsid w:val="0032247F"/>
    <w:rsid w:val="00357BEF"/>
    <w:rsid w:val="00371869"/>
    <w:rsid w:val="00396471"/>
    <w:rsid w:val="003E10BF"/>
    <w:rsid w:val="003E5AB8"/>
    <w:rsid w:val="003F1248"/>
    <w:rsid w:val="003F4D2F"/>
    <w:rsid w:val="004262BB"/>
    <w:rsid w:val="004441B7"/>
    <w:rsid w:val="004758F8"/>
    <w:rsid w:val="00485E16"/>
    <w:rsid w:val="004C6F87"/>
    <w:rsid w:val="004E5DE4"/>
    <w:rsid w:val="00512F79"/>
    <w:rsid w:val="00513289"/>
    <w:rsid w:val="005406F4"/>
    <w:rsid w:val="00553EB4"/>
    <w:rsid w:val="0058465D"/>
    <w:rsid w:val="005923C0"/>
    <w:rsid w:val="005B32C0"/>
    <w:rsid w:val="005B7C98"/>
    <w:rsid w:val="005C05B2"/>
    <w:rsid w:val="0060460F"/>
    <w:rsid w:val="00604FBC"/>
    <w:rsid w:val="00627162"/>
    <w:rsid w:val="00677E04"/>
    <w:rsid w:val="007158D2"/>
    <w:rsid w:val="00723881"/>
    <w:rsid w:val="00755B6B"/>
    <w:rsid w:val="0079028A"/>
    <w:rsid w:val="007B1F01"/>
    <w:rsid w:val="008651F9"/>
    <w:rsid w:val="008B7727"/>
    <w:rsid w:val="008F5310"/>
    <w:rsid w:val="009207EF"/>
    <w:rsid w:val="009370D7"/>
    <w:rsid w:val="00945B16"/>
    <w:rsid w:val="009711A4"/>
    <w:rsid w:val="0097763C"/>
    <w:rsid w:val="009B4335"/>
    <w:rsid w:val="009B7D0D"/>
    <w:rsid w:val="009D546E"/>
    <w:rsid w:val="009E69BA"/>
    <w:rsid w:val="00A15E78"/>
    <w:rsid w:val="00A242F5"/>
    <w:rsid w:val="00A35AE0"/>
    <w:rsid w:val="00A36C74"/>
    <w:rsid w:val="00A40DBB"/>
    <w:rsid w:val="00A632E2"/>
    <w:rsid w:val="00AC22E9"/>
    <w:rsid w:val="00AE698E"/>
    <w:rsid w:val="00AF08C9"/>
    <w:rsid w:val="00B009A2"/>
    <w:rsid w:val="00B22371"/>
    <w:rsid w:val="00B51AC9"/>
    <w:rsid w:val="00B7300C"/>
    <w:rsid w:val="00BB23DD"/>
    <w:rsid w:val="00BC50BD"/>
    <w:rsid w:val="00BF0F4C"/>
    <w:rsid w:val="00BF688D"/>
    <w:rsid w:val="00C13DEE"/>
    <w:rsid w:val="00C14B91"/>
    <w:rsid w:val="00C26D5A"/>
    <w:rsid w:val="00C9092C"/>
    <w:rsid w:val="00CE0180"/>
    <w:rsid w:val="00CE2AFA"/>
    <w:rsid w:val="00D60233"/>
    <w:rsid w:val="00DC42AF"/>
    <w:rsid w:val="00DD2ADA"/>
    <w:rsid w:val="00DD4FDB"/>
    <w:rsid w:val="00E17845"/>
    <w:rsid w:val="00E41445"/>
    <w:rsid w:val="00E56BEC"/>
    <w:rsid w:val="00E864FC"/>
    <w:rsid w:val="00EB188F"/>
    <w:rsid w:val="00EE1B86"/>
    <w:rsid w:val="00EF1EEF"/>
    <w:rsid w:val="00F300C3"/>
    <w:rsid w:val="00F4110F"/>
    <w:rsid w:val="00F55D9B"/>
    <w:rsid w:val="00F956B1"/>
    <w:rsid w:val="00FB08B8"/>
    <w:rsid w:val="00FB4B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54DF12"/>
  <w15:docId w15:val="{EF033D29-727E-E84B-BB86-C8B00665E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MX"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252" w:lineRule="auto"/>
      <w:ind w:left="336"/>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pPr>
      <w:ind w:left="336"/>
    </w:pPr>
  </w:style>
  <w:style w:type="paragraph" w:styleId="Prrafodelista">
    <w:name w:val="List Paragraph"/>
    <w:basedOn w:val="Normal"/>
    <w:link w:val="PrrafodelistaCar"/>
    <w:uiPriority w:val="34"/>
    <w:qFormat/>
    <w:pPr>
      <w:spacing w:line="268" w:lineRule="exact"/>
      <w:ind w:left="933" w:hanging="355"/>
    </w:pPr>
  </w:style>
  <w:style w:type="paragraph" w:customStyle="1" w:styleId="TableParagraph">
    <w:name w:val="Table Paragraph"/>
    <w:basedOn w:val="Normal"/>
    <w:uiPriority w:val="1"/>
    <w:qFormat/>
  </w:style>
  <w:style w:type="character" w:customStyle="1" w:styleId="PrrafodelistaCar">
    <w:name w:val="Párrafo de lista Car"/>
    <w:link w:val="Prrafodelista"/>
    <w:uiPriority w:val="34"/>
    <w:locked/>
    <w:rsid w:val="00C95A48"/>
    <w:rPr>
      <w:rFonts w:ascii="Arial MT" w:eastAsia="Arial MT" w:hAnsi="Arial MT" w:cs="Arial MT"/>
      <w:lang w:val="es-ES"/>
    </w:rPr>
  </w:style>
  <w:style w:type="character" w:styleId="Hipervnculo">
    <w:name w:val="Hyperlink"/>
    <w:basedOn w:val="Fuentedeprrafopredeter"/>
    <w:uiPriority w:val="99"/>
    <w:unhideWhenUsed/>
    <w:rsid w:val="00040DC6"/>
    <w:rPr>
      <w:color w:val="0000FF" w:themeColor="hyperlink"/>
      <w:u w:val="single"/>
    </w:rPr>
  </w:style>
  <w:style w:type="character" w:styleId="Mencinsinresolver">
    <w:name w:val="Unresolved Mention"/>
    <w:basedOn w:val="Fuentedeprrafopredeter"/>
    <w:uiPriority w:val="99"/>
    <w:semiHidden/>
    <w:unhideWhenUsed/>
    <w:rsid w:val="00040DC6"/>
    <w:rPr>
      <w:color w:val="605E5C"/>
      <w:shd w:val="clear" w:color="auto" w:fill="E1DFDD"/>
    </w:rPr>
  </w:style>
  <w:style w:type="character" w:styleId="Hipervnculovisitado">
    <w:name w:val="FollowedHyperlink"/>
    <w:basedOn w:val="Fuentedeprrafopredeter"/>
    <w:uiPriority w:val="99"/>
    <w:semiHidden/>
    <w:unhideWhenUsed/>
    <w:rsid w:val="005262CB"/>
    <w:rPr>
      <w:color w:val="800080" w:themeColor="followedHyperlink"/>
      <w:u w:val="single"/>
    </w:rPr>
  </w:style>
  <w:style w:type="paragraph" w:styleId="NormalWeb">
    <w:name w:val="Normal (Web)"/>
    <w:basedOn w:val="Normal"/>
    <w:uiPriority w:val="99"/>
    <w:unhideWhenUsed/>
    <w:rsid w:val="001A3220"/>
    <w:pPr>
      <w:widowControl/>
      <w:spacing w:before="100" w:beforeAutospacing="1" w:after="100" w:afterAutospacing="1"/>
    </w:pPr>
    <w:rPr>
      <w:rFonts w:ascii="Times New Roman" w:eastAsia="Times New Roman" w:hAnsi="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Encabezado">
    <w:name w:val="header"/>
    <w:basedOn w:val="Normal"/>
    <w:link w:val="EncabezadoCar"/>
    <w:uiPriority w:val="99"/>
    <w:unhideWhenUsed/>
    <w:rsid w:val="00BC50BD"/>
    <w:pPr>
      <w:tabs>
        <w:tab w:val="center" w:pos="4419"/>
        <w:tab w:val="right" w:pos="8838"/>
      </w:tabs>
    </w:pPr>
  </w:style>
  <w:style w:type="character" w:customStyle="1" w:styleId="EncabezadoCar">
    <w:name w:val="Encabezado Car"/>
    <w:basedOn w:val="Fuentedeprrafopredeter"/>
    <w:link w:val="Encabezado"/>
    <w:uiPriority w:val="99"/>
    <w:qFormat/>
    <w:rsid w:val="00BC50BD"/>
  </w:style>
  <w:style w:type="paragraph" w:styleId="Piedepgina">
    <w:name w:val="footer"/>
    <w:basedOn w:val="Normal"/>
    <w:link w:val="PiedepginaCar"/>
    <w:uiPriority w:val="99"/>
    <w:unhideWhenUsed/>
    <w:rsid w:val="00BC50BD"/>
    <w:pPr>
      <w:tabs>
        <w:tab w:val="center" w:pos="4419"/>
        <w:tab w:val="right" w:pos="8838"/>
      </w:tabs>
    </w:pPr>
  </w:style>
  <w:style w:type="character" w:customStyle="1" w:styleId="PiedepginaCar">
    <w:name w:val="Pie de página Car"/>
    <w:basedOn w:val="Fuentedeprrafopredeter"/>
    <w:link w:val="Piedepgina"/>
    <w:uiPriority w:val="99"/>
    <w:qFormat/>
    <w:rsid w:val="00BC50BD"/>
  </w:style>
  <w:style w:type="character" w:styleId="Nmerodepgina">
    <w:name w:val="page number"/>
    <w:basedOn w:val="Fuentedeprrafopredeter"/>
    <w:uiPriority w:val="99"/>
    <w:semiHidden/>
    <w:unhideWhenUsed/>
    <w:rsid w:val="00BC50BD"/>
  </w:style>
  <w:style w:type="paragraph" w:customStyle="1" w:styleId="s17">
    <w:name w:val="s17"/>
    <w:basedOn w:val="Normal"/>
    <w:rsid w:val="00147D4E"/>
    <w:pPr>
      <w:widowControl/>
      <w:spacing w:before="100" w:beforeAutospacing="1" w:after="100" w:afterAutospacing="1"/>
    </w:pPr>
    <w:rPr>
      <w:rFonts w:ascii="Times New Roman" w:eastAsia="Times New Roman" w:hAnsi="Times New Roman" w:cs="Times New Roman"/>
      <w:sz w:val="24"/>
      <w:szCs w:val="24"/>
      <w:lang w:val="es-CO"/>
    </w:rPr>
  </w:style>
  <w:style w:type="character" w:customStyle="1" w:styleId="s15">
    <w:name w:val="s15"/>
    <w:basedOn w:val="Fuentedeprrafopredeter"/>
    <w:rsid w:val="00147D4E"/>
  </w:style>
  <w:style w:type="paragraph" w:customStyle="1" w:styleId="s19">
    <w:name w:val="s19"/>
    <w:basedOn w:val="Normal"/>
    <w:rsid w:val="00147D4E"/>
    <w:pPr>
      <w:widowControl/>
      <w:spacing w:before="100" w:beforeAutospacing="1" w:after="100" w:afterAutospacing="1"/>
    </w:pPr>
    <w:rPr>
      <w:rFonts w:ascii="Times New Roman" w:eastAsia="Times New Roman" w:hAnsi="Times New Roman" w:cs="Times New Roman"/>
      <w:sz w:val="24"/>
      <w:szCs w:val="24"/>
      <w:lang w:val="es-CO"/>
    </w:rPr>
  </w:style>
  <w:style w:type="character" w:customStyle="1" w:styleId="s18">
    <w:name w:val="s18"/>
    <w:basedOn w:val="Fuentedeprrafopredeter"/>
    <w:rsid w:val="00147D4E"/>
  </w:style>
  <w:style w:type="character" w:customStyle="1" w:styleId="apple-converted-space">
    <w:name w:val="apple-converted-space"/>
    <w:basedOn w:val="Fuentedeprrafopredeter"/>
    <w:rsid w:val="00147D4E"/>
  </w:style>
  <w:style w:type="character" w:customStyle="1" w:styleId="s20">
    <w:name w:val="s20"/>
    <w:basedOn w:val="Fuentedeprrafopredeter"/>
    <w:rsid w:val="00147D4E"/>
  </w:style>
  <w:style w:type="paragraph" w:customStyle="1" w:styleId="isselectedend">
    <w:name w:val="isselectedend"/>
    <w:basedOn w:val="Normal"/>
    <w:rsid w:val="00147D4E"/>
    <w:pPr>
      <w:widowControl/>
      <w:spacing w:before="100" w:beforeAutospacing="1" w:after="100" w:afterAutospacing="1"/>
    </w:pPr>
    <w:rPr>
      <w:rFonts w:ascii="Times New Roman" w:eastAsia="Times New Roman" w:hAnsi="Times New Roman" w:cs="Times New Roman"/>
      <w:sz w:val="24"/>
      <w:szCs w:val="24"/>
      <w:lang w:val="es-CO"/>
    </w:rPr>
  </w:style>
  <w:style w:type="character" w:styleId="Fuerte">
    <w:name w:val="Strong"/>
    <w:basedOn w:val="Fuentedeprrafopredeter"/>
    <w:uiPriority w:val="22"/>
    <w:qFormat/>
    <w:rsid w:val="00BF688D"/>
    <w:rPr>
      <w:b/>
      <w:bCs/>
    </w:rPr>
  </w:style>
  <w:style w:type="paragraph" w:customStyle="1" w:styleId="pdq2pgselectionanchorcontainer">
    <w:name w:val="pdq2pg_selectionanchorcontainer"/>
    <w:basedOn w:val="Normal"/>
    <w:rsid w:val="00BF688D"/>
    <w:pPr>
      <w:widowControl/>
      <w:spacing w:before="100" w:beforeAutospacing="1" w:after="100" w:afterAutospacing="1"/>
    </w:pPr>
    <w:rPr>
      <w:rFonts w:ascii="Times New Roman" w:eastAsia="Times New Roman" w:hAnsi="Times New Roman" w:cs="Times New Roman"/>
      <w:sz w:val="24"/>
      <w:szCs w:val="24"/>
      <w:lang w:val="es-CO"/>
    </w:rPr>
  </w:style>
  <w:style w:type="character" w:styleId="Refdecomentario">
    <w:name w:val="annotation reference"/>
    <w:basedOn w:val="Fuentedeprrafopredeter"/>
    <w:uiPriority w:val="99"/>
    <w:semiHidden/>
    <w:unhideWhenUsed/>
    <w:rsid w:val="00BF688D"/>
    <w:rPr>
      <w:sz w:val="16"/>
      <w:szCs w:val="16"/>
    </w:rPr>
  </w:style>
  <w:style w:type="paragraph" w:styleId="Textocomentario">
    <w:name w:val="annotation text"/>
    <w:basedOn w:val="Normal"/>
    <w:link w:val="TextocomentarioCar"/>
    <w:uiPriority w:val="99"/>
    <w:unhideWhenUsed/>
    <w:rsid w:val="00BF688D"/>
    <w:pPr>
      <w:widowControl/>
      <w:suppressAutoHyphens/>
      <w:spacing w:after="200"/>
    </w:pPr>
    <w:rPr>
      <w:rFonts w:asciiTheme="minorHAnsi" w:eastAsiaTheme="minorHAnsi" w:hAnsiTheme="minorHAnsi" w:cstheme="minorBidi"/>
      <w:sz w:val="20"/>
      <w:szCs w:val="20"/>
      <w:lang w:val="es-CO" w:eastAsia="en-US"/>
    </w:rPr>
  </w:style>
  <w:style w:type="character" w:customStyle="1" w:styleId="TextocomentarioCar">
    <w:name w:val="Texto comentario Car"/>
    <w:basedOn w:val="Fuentedeprrafopredeter"/>
    <w:link w:val="Textocomentario"/>
    <w:uiPriority w:val="99"/>
    <w:rsid w:val="00BF688D"/>
    <w:rPr>
      <w:rFonts w:asciiTheme="minorHAnsi" w:eastAsiaTheme="minorHAnsi" w:hAnsiTheme="minorHAnsi" w:cstheme="minorBidi"/>
      <w:sz w:val="20"/>
      <w:szCs w:val="20"/>
      <w:lang w:val="es-CO" w:eastAsia="en-US"/>
    </w:rPr>
  </w:style>
  <w:style w:type="table" w:styleId="Tablaconcuadrcula">
    <w:name w:val="Table Grid"/>
    <w:basedOn w:val="Tablanormal"/>
    <w:uiPriority w:val="39"/>
    <w:rsid w:val="009711A4"/>
    <w:pPr>
      <w:widowControl/>
    </w:pPr>
    <w:rPr>
      <w:rFonts w:asciiTheme="minorHAnsi" w:eastAsiaTheme="minorHAnsi" w:hAnsiTheme="minorHAnsi" w:cstheme="minorBidi"/>
      <w:kern w:val="2"/>
      <w:lang w:val="es-CO"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755971">
      <w:bodyDiv w:val="1"/>
      <w:marLeft w:val="0"/>
      <w:marRight w:val="0"/>
      <w:marTop w:val="0"/>
      <w:marBottom w:val="0"/>
      <w:divBdr>
        <w:top w:val="none" w:sz="0" w:space="0" w:color="auto"/>
        <w:left w:val="none" w:sz="0" w:space="0" w:color="auto"/>
        <w:bottom w:val="none" w:sz="0" w:space="0" w:color="auto"/>
        <w:right w:val="none" w:sz="0" w:space="0" w:color="auto"/>
      </w:divBdr>
    </w:div>
    <w:div w:id="1552955489">
      <w:bodyDiv w:val="1"/>
      <w:marLeft w:val="0"/>
      <w:marRight w:val="0"/>
      <w:marTop w:val="0"/>
      <w:marBottom w:val="0"/>
      <w:divBdr>
        <w:top w:val="none" w:sz="0" w:space="0" w:color="auto"/>
        <w:left w:val="none" w:sz="0" w:space="0" w:color="auto"/>
        <w:bottom w:val="none" w:sz="0" w:space="0" w:color="auto"/>
        <w:right w:val="none" w:sz="0" w:space="0" w:color="auto"/>
      </w:divBdr>
    </w:div>
    <w:div w:id="1573274569">
      <w:bodyDiv w:val="1"/>
      <w:marLeft w:val="0"/>
      <w:marRight w:val="0"/>
      <w:marTop w:val="0"/>
      <w:marBottom w:val="0"/>
      <w:divBdr>
        <w:top w:val="none" w:sz="0" w:space="0" w:color="auto"/>
        <w:left w:val="none" w:sz="0" w:space="0" w:color="auto"/>
        <w:bottom w:val="none" w:sz="0" w:space="0" w:color="auto"/>
        <w:right w:val="none" w:sz="0" w:space="0" w:color="auto"/>
      </w:divBdr>
    </w:div>
    <w:div w:id="1708213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mailto:daniel.moreno@movilizatorio.org"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7oCHKrjl/Ajd9L/c9gibdg6Y6A==">CgMxLjA4AHIhMWlEZ1ZxdExRMTdnd3BqVGJlOGlkckFicTlNVHZUb25a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BDC8BAF-BFF8-4261-9771-497696350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7</Pages>
  <Words>2008</Words>
  <Characters>11050</Characters>
  <Application>Microsoft Office Word</Application>
  <DocSecurity>0</DocSecurity>
  <Lines>92</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Ministerio de Minas y Energía</dc:creator>
  <cp:lastModifiedBy>Camilo Ibáñez</cp:lastModifiedBy>
  <cp:revision>45</cp:revision>
  <cp:lastPrinted>2026-07-27T23:34:00Z</cp:lastPrinted>
  <dcterms:created xsi:type="dcterms:W3CDTF">2026-07-07T03:41:00Z</dcterms:created>
  <dcterms:modified xsi:type="dcterms:W3CDTF">2026-07-27T23:35:00Z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2024-11-15T00:00:00Z</vt:filetime>
  </property>
  <property fmtid="{D5CDD505-2E9C-101B-9397-08002B2CF9AE}" pid="3" name="Creator">
    <vt:lpwstr>Microsoft® Word 2016</vt:lpwstr>
  </property>
  <property fmtid="{D5CDD505-2E9C-101B-9397-08002B2CF9AE}" pid="4" name="LastSaved">
    <vt:filetime>2025-05-05T00:00:00Z</vt:filetime>
  </property>
  <property fmtid="{D5CDD505-2E9C-101B-9397-08002B2CF9AE}" pid="5" name="Producer">
    <vt:lpwstr>Microsoft® Word 2016</vt:lpwstr>
  </property>
</Properties>
</file>